
<file path=[Content_Types].xml><?xml version="1.0" encoding="utf-8"?>
<Types xmlns="http://schemas.openxmlformats.org/package/2006/content-types">
  <Default Extension="eps" ContentType="image/ep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DD411" w14:textId="77777777" w:rsidR="008616C3" w:rsidRDefault="008616C3" w:rsidP="008616C3">
      <w:pPr>
        <w:pStyle w:val="Heading1"/>
      </w:pPr>
      <w:r w:rsidRPr="434A72FB">
        <w:t xml:space="preserve">Executive summary </w:t>
      </w:r>
    </w:p>
    <w:p w14:paraId="227D4261" w14:textId="77777777" w:rsidR="008616C3" w:rsidRPr="00E45F00" w:rsidRDefault="008616C3" w:rsidP="008616C3">
      <w:pPr>
        <w:rPr>
          <w:rFonts w:eastAsia="Roboto" w:cs="Roboto"/>
        </w:rPr>
      </w:pPr>
      <w:r w:rsidRPr="434A72FB">
        <w:rPr>
          <w:rFonts w:eastAsia="Roboto" w:cs="Roboto"/>
        </w:rPr>
        <w:t xml:space="preserve">Resident engagement in retrofit is necessary part of successful retrofit initiatives. </w:t>
      </w:r>
    </w:p>
    <w:p w14:paraId="3A68518A" w14:textId="77777777" w:rsidR="008616C3" w:rsidRDefault="008616C3" w:rsidP="008616C3">
      <w:pPr>
        <w:tabs>
          <w:tab w:val="left" w:pos="4253"/>
        </w:tabs>
        <w:rPr>
          <w:rFonts w:eastAsia="Roboto" w:cs="Roboto"/>
        </w:rPr>
      </w:pPr>
      <w:r w:rsidRPr="434A72FB">
        <w:rPr>
          <w:rFonts w:eastAsia="Roboto" w:cs="Roboto"/>
        </w:rPr>
        <w:t xml:space="preserve">Investing in structured resident engagement as an explicit, funded workstream reduces delivery risk, raises resident acceptance and satisfaction, improves measured energy savings and wellbeing, and protects committed retrofit funding. The following have been outlined as the business case for resident engagement. </w:t>
      </w:r>
    </w:p>
    <w:p w14:paraId="4F0CEDDA" w14:textId="77777777" w:rsidR="008616C3" w:rsidRDefault="008616C3" w:rsidP="008616C3">
      <w:pPr>
        <w:numPr>
          <w:ilvl w:val="0"/>
          <w:numId w:val="24"/>
        </w:numPr>
        <w:rPr>
          <w:rFonts w:eastAsia="Roboto" w:cs="Roboto"/>
        </w:rPr>
      </w:pPr>
      <w:r w:rsidRPr="434A72FB">
        <w:rPr>
          <w:rFonts w:eastAsia="Roboto" w:cs="Roboto"/>
          <w:b/>
          <w:bCs/>
        </w:rPr>
        <w:t>Strategic case:</w:t>
      </w:r>
      <w:r w:rsidRPr="434A72FB">
        <w:rPr>
          <w:rFonts w:eastAsia="Roboto" w:cs="Roboto"/>
        </w:rPr>
        <w:t xml:space="preserve"> Resident engagement is essential to achieving large-scale retrofit ambitions and supporting social housing providers in meeting net zero targets. By involving residents early and meaningfully, engagement builds trust, increases awareness of the benefits of retrofit works, and fosters long-term behavioural change that supports energy efficiency and carbon reduction goals. A strategic approach to engagement ensures that retrofit programmes are resident-centred, equitable, and aligned with wider local and national sustainability objectives.</w:t>
      </w:r>
    </w:p>
    <w:p w14:paraId="3E0DB26A" w14:textId="77777777" w:rsidR="008616C3" w:rsidRDefault="008616C3" w:rsidP="008616C3">
      <w:pPr>
        <w:numPr>
          <w:ilvl w:val="0"/>
          <w:numId w:val="25"/>
        </w:numPr>
        <w:rPr>
          <w:rFonts w:eastAsia="Roboto" w:cs="Roboto"/>
        </w:rPr>
      </w:pPr>
      <w:r w:rsidRPr="434A72FB">
        <w:rPr>
          <w:rFonts w:eastAsia="Roboto" w:cs="Roboto"/>
          <w:b/>
          <w:bCs/>
        </w:rPr>
        <w:t>Financial case</w:t>
      </w:r>
      <w:r w:rsidRPr="434A72FB">
        <w:rPr>
          <w:rFonts w:eastAsia="Roboto" w:cs="Roboto"/>
        </w:rPr>
        <w:t>: Proactive and sustained resident engagement reduces the financial risks associated with retrofit delivery. Engaged residents are more likely to consent to works, remain committed throughout the process, and avoid late-stage dropouts — significantly reducing operational costs linked to rework, rescheduling, and project inefficiencies. Effective engagement also minimises void periods and helps ensure public and private investment delivers maximum value for money.</w:t>
      </w:r>
    </w:p>
    <w:p w14:paraId="2E826DC4" w14:textId="77777777" w:rsidR="008616C3" w:rsidRDefault="008616C3" w:rsidP="008616C3">
      <w:pPr>
        <w:numPr>
          <w:ilvl w:val="0"/>
          <w:numId w:val="25"/>
        </w:numPr>
        <w:rPr>
          <w:rFonts w:eastAsia="Roboto" w:cs="Roboto"/>
        </w:rPr>
      </w:pPr>
      <w:r w:rsidRPr="434A72FB">
        <w:rPr>
          <w:rFonts w:eastAsia="Roboto" w:cs="Roboto"/>
          <w:b/>
          <w:bCs/>
        </w:rPr>
        <w:t>Economic case</w:t>
      </w:r>
      <w:r w:rsidRPr="434A72FB">
        <w:rPr>
          <w:rFonts w:eastAsia="Roboto" w:cs="Roboto"/>
        </w:rPr>
        <w:t>: Resident engagement increases the likelihood that retrofit measures are correctly used, maintained, and optimised, leading to sustained reductions in household energy bills and fewer maintenance callouts. These savings enhance residents’ financial resilience, reduce fuel poverty, and support local economic wellbeing by keeping more income within communities. At scale, this contributes to a more stable and efficient housing stock, easing pressure on public services.</w:t>
      </w:r>
    </w:p>
    <w:p w14:paraId="5CB9C933" w14:textId="77777777" w:rsidR="008616C3" w:rsidRPr="000C567D" w:rsidRDefault="008616C3" w:rsidP="008616C3">
      <w:pPr>
        <w:numPr>
          <w:ilvl w:val="0"/>
          <w:numId w:val="25"/>
        </w:numPr>
        <w:rPr>
          <w:rFonts w:eastAsia="Roboto" w:cs="Roboto"/>
        </w:rPr>
      </w:pPr>
      <w:r w:rsidRPr="434A72FB">
        <w:rPr>
          <w:rFonts w:eastAsia="Roboto" w:cs="Roboto"/>
          <w:b/>
          <w:bCs/>
        </w:rPr>
        <w:t>Managing programme risks</w:t>
      </w:r>
      <w:r w:rsidRPr="434A72FB">
        <w:rPr>
          <w:rFonts w:eastAsia="Roboto" w:cs="Roboto"/>
        </w:rPr>
        <w:t>: Early and ongoing engagement helps identify and address barriers to participation, manage expectations, and ensure that resident feedback shapes delivery. By building understanding and trust, engagement mitigates reputational risks for housing providers, prevents costly delays, and reduces the likelihood of non-compliance or post-installation dissatisfaction. Embedding engagement in programme design supports smoother delivery and stronger resident-provider relationships.</w:t>
      </w:r>
    </w:p>
    <w:p w14:paraId="5E6890ED" w14:textId="77777777" w:rsidR="008616C3" w:rsidRPr="000C567D" w:rsidRDefault="008616C3" w:rsidP="008616C3">
      <w:pPr>
        <w:numPr>
          <w:ilvl w:val="0"/>
          <w:numId w:val="26"/>
        </w:numPr>
        <w:rPr>
          <w:rFonts w:eastAsia="Roboto" w:cs="Roboto"/>
        </w:rPr>
      </w:pPr>
      <w:r w:rsidRPr="434A72FB">
        <w:rPr>
          <w:rFonts w:eastAsia="Roboto" w:cs="Roboto"/>
          <w:b/>
          <w:bCs/>
        </w:rPr>
        <w:t>Social value and environmental benefits:</w:t>
      </w:r>
      <w:r w:rsidRPr="434A72FB">
        <w:rPr>
          <w:rFonts w:eastAsia="Roboto" w:cs="Roboto"/>
        </w:rPr>
        <w:t xml:space="preserve"> Resident engagement maximises the social and environmental returns of retrofit programmes. When residents understand and can fully use new technologies, they experience tangible improvements in comfort, health, and wellbeing, alongside lower energy costs. Engaged communities are more likely to value and sustain low-carbon behaviours, contributing to neighbourhood pride, social cohesion, and reduced carbon emissions.</w:t>
      </w:r>
    </w:p>
    <w:p w14:paraId="6C8CC769" w14:textId="77777777" w:rsidR="008616C3" w:rsidRDefault="008616C3" w:rsidP="008616C3">
      <w:pPr>
        <w:rPr>
          <w:rFonts w:eastAsia="Roboto" w:cs="Roboto"/>
          <w:b/>
          <w:bCs/>
        </w:rPr>
      </w:pPr>
    </w:p>
    <w:p w14:paraId="6FCAF5E3" w14:textId="77777777" w:rsidR="008616C3" w:rsidRDefault="008616C3" w:rsidP="008616C3">
      <w:pPr>
        <w:rPr>
          <w:rFonts w:eastAsia="Roboto" w:cs="Roboto"/>
          <w:b/>
          <w:bCs/>
        </w:rPr>
      </w:pPr>
    </w:p>
    <w:p w14:paraId="5847F149" w14:textId="77777777" w:rsidR="008616C3" w:rsidRPr="00AC32A7" w:rsidRDefault="008616C3" w:rsidP="008616C3">
      <w:pPr>
        <w:pStyle w:val="Heading2"/>
      </w:pPr>
      <w:r w:rsidRPr="434A72FB">
        <w:lastRenderedPageBreak/>
        <w:t xml:space="preserve">Strategic Case: </w:t>
      </w:r>
    </w:p>
    <w:p w14:paraId="5B00660B" w14:textId="77777777" w:rsidR="008616C3" w:rsidRDefault="008616C3" w:rsidP="008616C3">
      <w:pPr>
        <w:spacing w:before="240" w:after="240"/>
        <w:rPr>
          <w:rFonts w:eastAsia="Roboto" w:cs="Roboto"/>
        </w:rPr>
      </w:pPr>
      <w:r w:rsidRPr="434A72FB">
        <w:rPr>
          <w:rFonts w:eastAsia="Roboto" w:cs="Roboto"/>
        </w:rPr>
        <w:t>Retrofit works are inherently disruptive and intrusive, requiring access to residents’ homes and often involving multiple visits and temporary changes to daily routines. Resident consent, cooperation, and trust are therefore mission-critical to successful delivery. Without effective engagement, even technically robust retrofit programmes risk delays, refusals, and high dropout rates that undermine overall performance and value.</w:t>
      </w:r>
    </w:p>
    <w:p w14:paraId="39579CBF" w14:textId="77777777" w:rsidR="008616C3" w:rsidRDefault="008616C3" w:rsidP="008616C3">
      <w:pPr>
        <w:spacing w:before="240" w:after="240"/>
        <w:rPr>
          <w:rFonts w:eastAsia="Roboto" w:cs="Roboto"/>
        </w:rPr>
      </w:pPr>
      <w:r w:rsidRPr="00E4668E">
        <w:rPr>
          <w:rFonts w:eastAsia="Roboto" w:cs="Roboto"/>
        </w:rPr>
        <w:t>Resident engagement is not only good practice</w:t>
      </w:r>
      <w:r w:rsidRPr="434A72FB">
        <w:rPr>
          <w:rFonts w:eastAsia="Roboto" w:cs="Roboto"/>
        </w:rPr>
        <w:t xml:space="preserve">, </w:t>
      </w:r>
      <w:r w:rsidRPr="00E4668E">
        <w:rPr>
          <w:rFonts w:eastAsia="Roboto" w:cs="Roboto"/>
        </w:rPr>
        <w:t xml:space="preserve">it is a formal requirement under key quality and compliance frameworks, including </w:t>
      </w:r>
      <w:r w:rsidRPr="434A72FB">
        <w:rPr>
          <w:rFonts w:eastAsia="Roboto" w:cs="Roboto"/>
        </w:rPr>
        <w:t>PAS 2035</w:t>
      </w:r>
      <w:r w:rsidRPr="00E4668E">
        <w:rPr>
          <w:rFonts w:eastAsia="Roboto" w:cs="Roboto"/>
        </w:rPr>
        <w:t xml:space="preserve"> and the </w:t>
      </w:r>
      <w:r w:rsidRPr="434A72FB">
        <w:rPr>
          <w:rFonts w:eastAsia="Roboto" w:cs="Roboto"/>
        </w:rPr>
        <w:t>Decent Homes Standard</w:t>
      </w:r>
      <w:r w:rsidRPr="00E4668E">
        <w:rPr>
          <w:rFonts w:eastAsia="Roboto" w:cs="Roboto"/>
        </w:rPr>
        <w:t xml:space="preserve">, which both emphasise the need for occupant involvement, consent, and post-installation support. The </w:t>
      </w:r>
      <w:r w:rsidRPr="434A72FB">
        <w:rPr>
          <w:rFonts w:eastAsia="Roboto" w:cs="Roboto"/>
        </w:rPr>
        <w:t>RISE guidance</w:t>
      </w:r>
      <w:r w:rsidRPr="00E4668E">
        <w:rPr>
          <w:rFonts w:eastAsia="Roboto" w:cs="Roboto"/>
        </w:rPr>
        <w:t xml:space="preserve"> also reinforces that engagement must be embedded throughout the project lifecycle, from </w:t>
      </w:r>
      <w:r w:rsidRPr="434A72FB">
        <w:rPr>
          <w:rFonts w:eastAsia="Roboto" w:cs="Roboto"/>
        </w:rPr>
        <w:t>initial</w:t>
      </w:r>
      <w:r w:rsidRPr="00E4668E">
        <w:rPr>
          <w:rFonts w:eastAsia="Roboto" w:cs="Roboto"/>
        </w:rPr>
        <w:t xml:space="preserve"> scoping to handover and aftercare, to ensure that residents understand and can </w:t>
      </w:r>
      <w:r w:rsidRPr="434A72FB">
        <w:rPr>
          <w:rFonts w:eastAsia="Roboto" w:cs="Roboto"/>
        </w:rPr>
        <w:t>benefit from the improvements being made.</w:t>
      </w:r>
    </w:p>
    <w:p w14:paraId="712522AD" w14:textId="77777777" w:rsidR="008616C3" w:rsidRDefault="008616C3" w:rsidP="008616C3">
      <w:pPr>
        <w:spacing w:before="240" w:after="240"/>
        <w:rPr>
          <w:rFonts w:eastAsia="Roboto" w:cs="Roboto"/>
        </w:rPr>
      </w:pPr>
      <w:r w:rsidRPr="00E4668E">
        <w:rPr>
          <w:rFonts w:eastAsia="Roboto" w:cs="Roboto"/>
        </w:rPr>
        <w:t xml:space="preserve">Evidence from </w:t>
      </w:r>
      <w:r w:rsidRPr="434A72FB">
        <w:rPr>
          <w:rFonts w:eastAsia="Roboto" w:cs="Roboto"/>
        </w:rPr>
        <w:t>Strategic Partnerships across the sector shows that inadequate engagement correlates with significantly higher refusal and dropout rates, leading to inefficiencies and reputational risks. Conversely, structured, resident-centred engagement strategies reduce project friction, improve satisfaction, and enable more predictable delivery timelines.</w:t>
      </w:r>
    </w:p>
    <w:p w14:paraId="38B03824" w14:textId="77777777" w:rsidR="008616C3" w:rsidRDefault="008616C3" w:rsidP="008616C3">
      <w:pPr>
        <w:spacing w:before="240" w:after="240"/>
        <w:rPr>
          <w:rFonts w:eastAsia="Roboto" w:cs="Roboto"/>
        </w:rPr>
      </w:pPr>
      <w:r w:rsidRPr="00E4668E">
        <w:rPr>
          <w:rFonts w:eastAsia="Roboto" w:cs="Roboto"/>
        </w:rPr>
        <w:t xml:space="preserve">Social housing retrofit is central to both </w:t>
      </w:r>
      <w:r w:rsidRPr="434A72FB">
        <w:rPr>
          <w:rFonts w:eastAsia="Roboto" w:cs="Roboto"/>
        </w:rPr>
        <w:t>net zero</w:t>
      </w:r>
      <w:r w:rsidRPr="00E4668E">
        <w:rPr>
          <w:rFonts w:eastAsia="Roboto" w:cs="Roboto"/>
        </w:rPr>
        <w:t xml:space="preserve"> and </w:t>
      </w:r>
      <w:r w:rsidRPr="434A72FB">
        <w:rPr>
          <w:rFonts w:eastAsia="Roboto" w:cs="Roboto"/>
        </w:rPr>
        <w:t>fuel poverty policy objectives</w:t>
      </w:r>
      <w:r w:rsidRPr="00E4668E">
        <w:rPr>
          <w:rFonts w:eastAsia="Roboto" w:cs="Roboto"/>
        </w:rPr>
        <w:t>. Achieving the required scale set out in London’s retrofit targets and national decarbonisation programmes</w:t>
      </w:r>
      <w:r w:rsidRPr="434A72FB">
        <w:rPr>
          <w:rFonts w:eastAsia="Roboto" w:cs="Roboto"/>
        </w:rPr>
        <w:t xml:space="preserve">, </w:t>
      </w:r>
      <w:r w:rsidRPr="00E4668E">
        <w:rPr>
          <w:rFonts w:eastAsia="Roboto" w:cs="Roboto"/>
        </w:rPr>
        <w:t xml:space="preserve">depends on developing and embedding </w:t>
      </w:r>
      <w:r w:rsidRPr="434A72FB">
        <w:rPr>
          <w:rFonts w:eastAsia="Roboto" w:cs="Roboto"/>
        </w:rPr>
        <w:t>workable engagement models that can be replicated and scaled across diverse housing portfolios. Investing in strong resident engagement is therefore a strategic enabler for policy delivery, ensuring that social housing providers can meet their environmental obligations while maintaining resident trust and wellbeing.</w:t>
      </w:r>
    </w:p>
    <w:p w14:paraId="5B668921" w14:textId="77777777" w:rsidR="008616C3" w:rsidRPr="005A4323" w:rsidRDefault="008616C3" w:rsidP="008616C3">
      <w:pPr>
        <w:pStyle w:val="Heading2"/>
      </w:pPr>
      <w:r w:rsidRPr="434A72FB">
        <w:t xml:space="preserve">Financial case: </w:t>
      </w:r>
    </w:p>
    <w:p w14:paraId="07A79ED8" w14:textId="77777777" w:rsidR="008616C3" w:rsidRDefault="008616C3" w:rsidP="008616C3">
      <w:pPr>
        <w:spacing w:before="240" w:after="240"/>
        <w:rPr>
          <w:rFonts w:eastAsia="Roboto" w:cs="Roboto"/>
        </w:rPr>
      </w:pPr>
      <w:r w:rsidRPr="00E4668E">
        <w:rPr>
          <w:rFonts w:eastAsia="Roboto" w:cs="Roboto"/>
        </w:rPr>
        <w:t xml:space="preserve">Resident engagement has a direct and measurable </w:t>
      </w:r>
      <w:r w:rsidRPr="434A72FB">
        <w:rPr>
          <w:rFonts w:eastAsia="Roboto" w:cs="Roboto"/>
        </w:rPr>
        <w:t>financial impact on the efficiency and viability of retrofit programmes. When residents are not adequately informed or supported, projects face increased risks of refusals, late-stage dropouts, and disputes, which all drive up delivery costs and threaten funding compliance.</w:t>
      </w:r>
    </w:p>
    <w:p w14:paraId="44856E81" w14:textId="77777777" w:rsidR="008616C3" w:rsidRDefault="008616C3" w:rsidP="008616C3">
      <w:pPr>
        <w:spacing w:before="240" w:after="240"/>
        <w:rPr>
          <w:rFonts w:eastAsia="Roboto" w:cs="Roboto"/>
        </w:rPr>
      </w:pPr>
      <w:r w:rsidRPr="00E4668E">
        <w:rPr>
          <w:rFonts w:eastAsia="Roboto" w:cs="Roboto"/>
        </w:rPr>
        <w:t xml:space="preserve">A lack of engagement can lead to </w:t>
      </w:r>
      <w:r w:rsidRPr="0210B1B9">
        <w:rPr>
          <w:rFonts w:eastAsia="Roboto" w:cs="Roboto"/>
        </w:rPr>
        <w:t>material losses</w:t>
      </w:r>
      <w:r w:rsidRPr="00E4668E">
        <w:rPr>
          <w:rFonts w:eastAsia="Roboto" w:cs="Roboto"/>
        </w:rPr>
        <w:t xml:space="preserve">, as products and equipment are often </w:t>
      </w:r>
      <w:r w:rsidRPr="0210B1B9">
        <w:rPr>
          <w:rFonts w:eastAsia="Roboto" w:cs="Roboto"/>
        </w:rPr>
        <w:t>procured</w:t>
      </w:r>
      <w:r w:rsidRPr="00E4668E">
        <w:rPr>
          <w:rFonts w:eastAsia="Roboto" w:cs="Roboto"/>
        </w:rPr>
        <w:t xml:space="preserve"> in advance based on planned works. When access is denied or residents withdraw, these materials may need to be stored, repurposed, or replaced, leading to waste and additional</w:t>
      </w:r>
      <w:r w:rsidRPr="0210B1B9">
        <w:rPr>
          <w:rFonts w:eastAsia="Roboto" w:cs="Roboto"/>
        </w:rPr>
        <w:t xml:space="preserve"> procurement costs</w:t>
      </w:r>
      <w:r w:rsidRPr="00E4668E">
        <w:rPr>
          <w:rFonts w:eastAsia="Roboto" w:cs="Roboto"/>
        </w:rPr>
        <w:t>.</w:t>
      </w:r>
      <w:r w:rsidRPr="0210B1B9">
        <w:rPr>
          <w:rFonts w:eastAsia="Roboto" w:cs="Roboto"/>
        </w:rPr>
        <w:t xml:space="preserve"> </w:t>
      </w:r>
      <w:r w:rsidRPr="0210B1B9">
        <w:rPr>
          <w:rFonts w:eastAsia="Roboto" w:cs="Roboto"/>
          <w:i/>
          <w:iCs/>
        </w:rPr>
        <w:t>If a property drops out after design has commenced, you might at a minimum experience between £3K to £10K sunk cost.</w:t>
      </w:r>
      <w:r w:rsidRPr="0210B1B9">
        <w:rPr>
          <w:rFonts w:eastAsia="Roboto" w:cs="Roboto"/>
        </w:rPr>
        <w:t xml:space="preserve"> </w:t>
      </w:r>
      <w:r w:rsidRPr="00E4668E">
        <w:rPr>
          <w:rFonts w:eastAsia="Roboto" w:cs="Roboto"/>
        </w:rPr>
        <w:t xml:space="preserve">Similarly, </w:t>
      </w:r>
      <w:r w:rsidRPr="0210B1B9">
        <w:rPr>
          <w:rFonts w:eastAsia="Roboto" w:cs="Roboto"/>
        </w:rPr>
        <w:t>redesigning retrofit plans to accommodate changes in resident consent or household circumstances incurs professional fees, administrative overheads, and programme delays.</w:t>
      </w:r>
    </w:p>
    <w:p w14:paraId="4DED20E1" w14:textId="77777777" w:rsidR="008616C3" w:rsidRDefault="008616C3" w:rsidP="008616C3">
      <w:pPr>
        <w:spacing w:before="240" w:after="240"/>
        <w:rPr>
          <w:rFonts w:eastAsia="Roboto" w:cs="Roboto"/>
        </w:rPr>
      </w:pPr>
      <w:r w:rsidRPr="00E4668E">
        <w:rPr>
          <w:rFonts w:eastAsia="Roboto" w:cs="Roboto"/>
        </w:rPr>
        <w:t xml:space="preserve">Disputes, complaints, and rework arising from poor communication or misunderstanding of the retrofit process can cause </w:t>
      </w:r>
      <w:r w:rsidRPr="434A72FB">
        <w:rPr>
          <w:rFonts w:eastAsia="Roboto" w:cs="Roboto"/>
        </w:rPr>
        <w:t>project overruns</w:t>
      </w:r>
      <w:r w:rsidRPr="00E4668E">
        <w:rPr>
          <w:rFonts w:eastAsia="Roboto" w:cs="Roboto"/>
        </w:rPr>
        <w:t xml:space="preserve"> and contractor downtime. These issues not only increase delivery costs but can also undermine performance metrics linked to </w:t>
      </w:r>
      <w:r w:rsidRPr="434A72FB">
        <w:rPr>
          <w:rFonts w:eastAsia="Roboto" w:cs="Roboto"/>
        </w:rPr>
        <w:t>funding agreements</w:t>
      </w:r>
      <w:r w:rsidRPr="00E4668E">
        <w:rPr>
          <w:rFonts w:eastAsia="Roboto" w:cs="Roboto"/>
        </w:rPr>
        <w:t xml:space="preserve">. For example, missed milestones or under-delivery may result in </w:t>
      </w:r>
      <w:r w:rsidRPr="434A72FB">
        <w:rPr>
          <w:rFonts w:eastAsia="Roboto" w:cs="Roboto"/>
        </w:rPr>
        <w:t>funding clawbacks or loss of future allocations from DESNZ or other funding bodies.</w:t>
      </w:r>
    </w:p>
    <w:p w14:paraId="076429C8" w14:textId="5F0935E9" w:rsidR="008616C3" w:rsidRPr="008616C3" w:rsidRDefault="008616C3" w:rsidP="008616C3">
      <w:pPr>
        <w:spacing w:before="240" w:after="240"/>
        <w:rPr>
          <w:rFonts w:eastAsia="Roboto" w:cs="Roboto"/>
        </w:rPr>
      </w:pPr>
      <w:r w:rsidRPr="434A72FB">
        <w:rPr>
          <w:rFonts w:eastAsia="Roboto" w:cs="Roboto"/>
        </w:rPr>
        <w:lastRenderedPageBreak/>
        <w:t>Conversely, early</w:t>
      </w:r>
      <w:r w:rsidRPr="00E4668E">
        <w:rPr>
          <w:rFonts w:eastAsia="Roboto" w:cs="Roboto"/>
        </w:rPr>
        <w:t xml:space="preserve"> and continuous resident engagement reduces these financial risks by improving consent rates, reducing rework, and ensuring that works are completed on time and within budget. Investment in high-quality engagement is therefore a </w:t>
      </w:r>
      <w:r w:rsidRPr="434A72FB">
        <w:rPr>
          <w:rFonts w:eastAsia="Roboto" w:cs="Roboto"/>
        </w:rPr>
        <w:t>cost-avoidance measure which can improve programme efficiency, protect public funds, and enhance value for money across the retrofit portfolio.</w:t>
      </w:r>
    </w:p>
    <w:p w14:paraId="28A398C7" w14:textId="77777777" w:rsidR="008616C3" w:rsidRDefault="008616C3" w:rsidP="008616C3">
      <w:pPr>
        <w:pStyle w:val="Heading2"/>
      </w:pPr>
      <w:r w:rsidRPr="434A72FB">
        <w:t xml:space="preserve">Economic case: </w:t>
      </w:r>
    </w:p>
    <w:p w14:paraId="2728C9D6" w14:textId="77777777" w:rsidR="008616C3" w:rsidRDefault="008616C3" w:rsidP="008616C3">
      <w:pPr>
        <w:spacing w:before="240" w:after="240"/>
        <w:rPr>
          <w:rFonts w:eastAsia="Roboto" w:cs="Roboto"/>
        </w:rPr>
      </w:pPr>
      <w:r w:rsidRPr="00E4668E">
        <w:rPr>
          <w:rFonts w:eastAsia="Roboto" w:cs="Roboto"/>
        </w:rPr>
        <w:t xml:space="preserve">Resident engagement maximises the long-term economic benefits of retrofit programmes by ensuring that installed measures are correctly used, </w:t>
      </w:r>
      <w:r w:rsidRPr="434A72FB">
        <w:rPr>
          <w:rFonts w:eastAsia="Roboto" w:cs="Roboto"/>
        </w:rPr>
        <w:t>maintained</w:t>
      </w:r>
      <w:r w:rsidRPr="00E4668E">
        <w:rPr>
          <w:rFonts w:eastAsia="Roboto" w:cs="Roboto"/>
        </w:rPr>
        <w:t xml:space="preserve">, and optimised. Engaged residents are more likely to adopt energy-saving behaviours and </w:t>
      </w:r>
      <w:r w:rsidRPr="434A72FB">
        <w:rPr>
          <w:rFonts w:eastAsia="Roboto" w:cs="Roboto"/>
        </w:rPr>
        <w:t>maintain</w:t>
      </w:r>
      <w:r w:rsidRPr="00E4668E">
        <w:rPr>
          <w:rFonts w:eastAsia="Roboto" w:cs="Roboto"/>
        </w:rPr>
        <w:t xml:space="preserve"> retrofit installations, leading to </w:t>
      </w:r>
      <w:r w:rsidRPr="434A72FB">
        <w:rPr>
          <w:rFonts w:eastAsia="Roboto" w:cs="Roboto"/>
        </w:rPr>
        <w:t>sustained reductions in household energy bills and fewer repair or maintenance costs.</w:t>
      </w:r>
    </w:p>
    <w:p w14:paraId="722F95F2" w14:textId="34095870" w:rsidR="008616C3" w:rsidRDefault="008616C3" w:rsidP="008616C3">
      <w:pPr>
        <w:spacing w:before="240" w:after="240"/>
        <w:rPr>
          <w:rFonts w:eastAsia="Roboto" w:cs="Roboto"/>
        </w:rPr>
      </w:pPr>
      <w:r w:rsidRPr="00E4668E">
        <w:rPr>
          <w:rFonts w:eastAsia="Roboto" w:cs="Roboto"/>
        </w:rPr>
        <w:t xml:space="preserve">These savings contribute to improved household financial resilience and reduced </w:t>
      </w:r>
      <w:r w:rsidRPr="434A72FB">
        <w:rPr>
          <w:rFonts w:eastAsia="Roboto" w:cs="Roboto"/>
        </w:rPr>
        <w:t>fuel poverty</w:t>
      </w:r>
      <w:r w:rsidRPr="00E4668E">
        <w:rPr>
          <w:rFonts w:eastAsia="Roboto" w:cs="Roboto"/>
        </w:rPr>
        <w:t xml:space="preserve">, while also easing pressure on public services. At scale, correctly functioning retrofits support </w:t>
      </w:r>
      <w:r w:rsidRPr="434A72FB">
        <w:rPr>
          <w:rFonts w:eastAsia="Roboto" w:cs="Roboto"/>
        </w:rPr>
        <w:t>efficient housing stock management and enhance local economic stability by reducing avoidable costs associated with reworks, inefficiencies, and underutilised measures.</w:t>
      </w:r>
    </w:p>
    <w:p w14:paraId="26984918" w14:textId="77777777" w:rsidR="008616C3" w:rsidRPr="0012155D" w:rsidRDefault="008616C3" w:rsidP="008616C3">
      <w:pPr>
        <w:pStyle w:val="Heading2"/>
      </w:pPr>
      <w:r w:rsidRPr="434A72FB">
        <w:t xml:space="preserve">Managing programme risks: </w:t>
      </w:r>
    </w:p>
    <w:p w14:paraId="3B38F204" w14:textId="77777777" w:rsidR="008616C3" w:rsidRDefault="008616C3" w:rsidP="008616C3">
      <w:pPr>
        <w:spacing w:before="240" w:after="240"/>
        <w:rPr>
          <w:rFonts w:eastAsia="Roboto" w:cs="Roboto"/>
        </w:rPr>
      </w:pPr>
      <w:r w:rsidRPr="434A72FB">
        <w:rPr>
          <w:rFonts w:eastAsia="Roboto" w:cs="Roboto"/>
        </w:rPr>
        <w:t>Effective resident engagement is a critical risk management tool for retrofit programmes, influencing both operational and strategic outcomes. Key risks mitigated through structured engagement include:</w:t>
      </w:r>
    </w:p>
    <w:p w14:paraId="12A94432" w14:textId="77777777" w:rsidR="008616C3" w:rsidRDefault="008616C3" w:rsidP="008616C3">
      <w:pPr>
        <w:pStyle w:val="ListParagraph"/>
        <w:numPr>
          <w:ilvl w:val="0"/>
          <w:numId w:val="23"/>
        </w:numPr>
        <w:spacing w:before="240" w:after="240"/>
        <w:rPr>
          <w:rFonts w:eastAsia="Roboto" w:cs="Roboto"/>
        </w:rPr>
      </w:pPr>
      <w:r w:rsidRPr="434A72FB">
        <w:rPr>
          <w:rFonts w:eastAsia="Roboto" w:cs="Roboto"/>
        </w:rPr>
        <w:t>Minimising rates of refusal: Ensuring residents understand the benefits and process reduces refusal and dropout rates, supporting smoother programme delivery.</w:t>
      </w:r>
    </w:p>
    <w:p w14:paraId="02A9E33F" w14:textId="77777777" w:rsidR="008616C3" w:rsidRDefault="008616C3" w:rsidP="008616C3">
      <w:pPr>
        <w:pStyle w:val="ListParagraph"/>
        <w:numPr>
          <w:ilvl w:val="0"/>
          <w:numId w:val="23"/>
        </w:numPr>
        <w:spacing w:before="240" w:after="240"/>
        <w:rPr>
          <w:rFonts w:eastAsia="Roboto" w:cs="Roboto"/>
        </w:rPr>
      </w:pPr>
      <w:r w:rsidRPr="434A72FB">
        <w:rPr>
          <w:rFonts w:eastAsia="Roboto" w:cs="Roboto"/>
        </w:rPr>
        <w:t>Increasing % of properties completed on schedule: Engagement drives higher consent and cooperation, reducing delays and cancellations.</w:t>
      </w:r>
    </w:p>
    <w:p w14:paraId="4A7F9A63" w14:textId="77777777" w:rsidR="008616C3" w:rsidRDefault="008616C3" w:rsidP="008616C3">
      <w:pPr>
        <w:pStyle w:val="ListParagraph"/>
        <w:numPr>
          <w:ilvl w:val="0"/>
          <w:numId w:val="23"/>
        </w:numPr>
        <w:spacing w:before="240" w:after="240"/>
        <w:rPr>
          <w:rFonts w:eastAsia="Roboto" w:cs="Roboto"/>
        </w:rPr>
      </w:pPr>
      <w:r w:rsidRPr="434A72FB">
        <w:rPr>
          <w:rFonts w:eastAsia="Roboto" w:cs="Roboto"/>
        </w:rPr>
        <w:t>Reducing complaints and disputes: Clear communication and responsive support limit misunderstandings, resulting in fewer complaints and reworks.</w:t>
      </w:r>
    </w:p>
    <w:p w14:paraId="1C52B225" w14:textId="77777777" w:rsidR="008616C3" w:rsidRDefault="008616C3" w:rsidP="008616C3">
      <w:pPr>
        <w:pStyle w:val="ListParagraph"/>
        <w:numPr>
          <w:ilvl w:val="0"/>
          <w:numId w:val="23"/>
        </w:numPr>
        <w:spacing w:before="240" w:after="240"/>
        <w:rPr>
          <w:rFonts w:eastAsia="Roboto" w:cs="Roboto"/>
        </w:rPr>
      </w:pPr>
      <w:r w:rsidRPr="434A72FB">
        <w:rPr>
          <w:rFonts w:eastAsia="Roboto" w:cs="Roboto"/>
        </w:rPr>
        <w:t>Resident satisfaction</w:t>
      </w:r>
      <w:r w:rsidRPr="00E4668E">
        <w:rPr>
          <w:rFonts w:eastAsia="Roboto" w:cs="Roboto"/>
        </w:rPr>
        <w:t xml:space="preserve">: Positive engagement experiences strengthen trust and willingness to </w:t>
      </w:r>
      <w:r w:rsidRPr="434A72FB">
        <w:rPr>
          <w:rFonts w:eastAsia="Roboto" w:cs="Roboto"/>
        </w:rPr>
        <w:t>participate in future works.</w:t>
      </w:r>
    </w:p>
    <w:p w14:paraId="2B88E852" w14:textId="77777777" w:rsidR="008616C3" w:rsidRDefault="008616C3" w:rsidP="008616C3">
      <w:pPr>
        <w:pStyle w:val="ListParagraph"/>
        <w:numPr>
          <w:ilvl w:val="0"/>
          <w:numId w:val="23"/>
        </w:numPr>
        <w:spacing w:before="240" w:after="240"/>
        <w:rPr>
          <w:rFonts w:eastAsia="Roboto" w:cs="Roboto"/>
        </w:rPr>
      </w:pPr>
      <w:r w:rsidRPr="434A72FB">
        <w:rPr>
          <w:rFonts w:eastAsia="Roboto" w:cs="Roboto"/>
        </w:rPr>
        <w:t>Reducing days lost to access disputes/reworks: Minimising disruptions lowers delivery costs and prevents project overruns.</w:t>
      </w:r>
    </w:p>
    <w:p w14:paraId="3E455214" w14:textId="77777777" w:rsidR="008616C3" w:rsidRDefault="008616C3" w:rsidP="008616C3">
      <w:pPr>
        <w:pStyle w:val="ListParagraph"/>
        <w:numPr>
          <w:ilvl w:val="0"/>
          <w:numId w:val="23"/>
        </w:numPr>
        <w:spacing w:before="240" w:after="240"/>
        <w:rPr>
          <w:rFonts w:eastAsia="Roboto" w:cs="Roboto"/>
        </w:rPr>
      </w:pPr>
      <w:r w:rsidRPr="434A72FB">
        <w:rPr>
          <w:rFonts w:eastAsia="Roboto" w:cs="Roboto"/>
        </w:rPr>
        <w:t>Protecting reputational and social value: Successful engagement enhances the social profile of housing providers and strengthens community relations.</w:t>
      </w:r>
    </w:p>
    <w:p w14:paraId="046A9D44" w14:textId="77777777" w:rsidR="008616C3" w:rsidRDefault="008616C3" w:rsidP="008616C3">
      <w:pPr>
        <w:pStyle w:val="ListParagraph"/>
        <w:numPr>
          <w:ilvl w:val="0"/>
          <w:numId w:val="23"/>
        </w:numPr>
        <w:spacing w:before="240" w:after="240"/>
        <w:rPr>
          <w:rFonts w:eastAsia="Roboto" w:cs="Roboto"/>
        </w:rPr>
      </w:pPr>
      <w:r w:rsidRPr="434A72FB">
        <w:rPr>
          <w:rFonts w:eastAsia="Roboto" w:cs="Roboto"/>
        </w:rPr>
        <w:t>Maximising benefits of retrofits</w:t>
      </w:r>
      <w:r w:rsidRPr="00E4668E">
        <w:rPr>
          <w:rFonts w:eastAsia="Roboto" w:cs="Roboto"/>
        </w:rPr>
        <w:t xml:space="preserve">: Engaged residents are more likely to experience </w:t>
      </w:r>
      <w:r w:rsidRPr="434A72FB">
        <w:rPr>
          <w:rFonts w:eastAsia="Roboto" w:cs="Roboto"/>
        </w:rPr>
        <w:t>improved thermal comfort</w:t>
      </w:r>
      <w:r w:rsidRPr="00E4668E">
        <w:rPr>
          <w:rFonts w:eastAsia="Roboto" w:cs="Roboto"/>
        </w:rPr>
        <w:t xml:space="preserve">, </w:t>
      </w:r>
      <w:r w:rsidRPr="434A72FB">
        <w:rPr>
          <w:rFonts w:eastAsia="Roboto" w:cs="Roboto"/>
        </w:rPr>
        <w:t>reduced energy bills</w:t>
      </w:r>
      <w:r w:rsidRPr="00E4668E">
        <w:rPr>
          <w:rFonts w:eastAsia="Roboto" w:cs="Roboto"/>
        </w:rPr>
        <w:t xml:space="preserve">, and </w:t>
      </w:r>
      <w:r w:rsidRPr="434A72FB">
        <w:rPr>
          <w:rFonts w:eastAsia="Roboto" w:cs="Roboto"/>
        </w:rPr>
        <w:t>better health outcomes, including mental health benefits.</w:t>
      </w:r>
    </w:p>
    <w:p w14:paraId="091FDE92" w14:textId="77777777" w:rsidR="008616C3" w:rsidRDefault="008616C3" w:rsidP="008616C3">
      <w:pPr>
        <w:pStyle w:val="ListParagraph"/>
        <w:numPr>
          <w:ilvl w:val="0"/>
          <w:numId w:val="23"/>
        </w:numPr>
        <w:spacing w:before="240" w:after="240"/>
        <w:rPr>
          <w:rFonts w:eastAsia="Roboto" w:cs="Roboto"/>
        </w:rPr>
      </w:pPr>
      <w:r w:rsidRPr="434A72FB">
        <w:rPr>
          <w:rFonts w:eastAsia="Roboto" w:cs="Roboto"/>
        </w:rPr>
        <w:t>Supporting environmental targets</w:t>
      </w:r>
      <w:r w:rsidRPr="00E4668E">
        <w:rPr>
          <w:rFonts w:eastAsia="Roboto" w:cs="Roboto"/>
        </w:rPr>
        <w:t xml:space="preserve">: Proper use of retrofit measures contributes to </w:t>
      </w:r>
      <w:r w:rsidRPr="434A72FB">
        <w:rPr>
          <w:rFonts w:eastAsia="Roboto" w:cs="Roboto"/>
        </w:rPr>
        <w:t>reduced carbon emissions.</w:t>
      </w:r>
    </w:p>
    <w:p w14:paraId="26AA489A" w14:textId="77777777" w:rsidR="008616C3" w:rsidRDefault="008616C3" w:rsidP="008616C3">
      <w:pPr>
        <w:pStyle w:val="ListParagraph"/>
        <w:numPr>
          <w:ilvl w:val="0"/>
          <w:numId w:val="23"/>
        </w:numPr>
        <w:spacing w:before="240" w:after="240"/>
        <w:rPr>
          <w:rFonts w:eastAsia="Roboto" w:cs="Roboto"/>
        </w:rPr>
      </w:pPr>
      <w:r w:rsidRPr="434A72FB">
        <w:rPr>
          <w:rFonts w:eastAsia="Roboto" w:cs="Roboto"/>
        </w:rPr>
        <w:t>Strengthening resident-provider relationships: Engagement builds trust, improving long-term collaboration and acceptance of future programmes.</w:t>
      </w:r>
    </w:p>
    <w:p w14:paraId="6DB0134F" w14:textId="77777777" w:rsidR="008616C3" w:rsidRPr="00E4668E" w:rsidRDefault="008616C3" w:rsidP="008616C3">
      <w:pPr>
        <w:pStyle w:val="ListParagraph"/>
        <w:numPr>
          <w:ilvl w:val="0"/>
          <w:numId w:val="23"/>
        </w:numPr>
        <w:spacing w:before="240" w:after="240"/>
        <w:rPr>
          <w:rFonts w:eastAsia="Roboto" w:cs="Roboto"/>
        </w:rPr>
      </w:pPr>
      <w:r w:rsidRPr="00E4668E">
        <w:rPr>
          <w:rFonts w:eastAsia="Roboto" w:cs="Roboto"/>
        </w:rPr>
        <w:t xml:space="preserve">By systematically embedding resident engagement into delivery, housing providers reduce operational risks, protect financial and reputational interests, and maximise the </w:t>
      </w:r>
      <w:r w:rsidRPr="434A72FB">
        <w:rPr>
          <w:rFonts w:eastAsia="Roboto" w:cs="Roboto"/>
        </w:rPr>
        <w:t>social, economic, and environmental value of retrofit investments.</w:t>
      </w:r>
    </w:p>
    <w:p w14:paraId="16E1B5F6" w14:textId="77777777" w:rsidR="008616C3" w:rsidRDefault="008616C3" w:rsidP="008616C3">
      <w:pPr>
        <w:rPr>
          <w:rFonts w:eastAsia="Roboto" w:cs="Roboto"/>
        </w:rPr>
      </w:pPr>
    </w:p>
    <w:p w14:paraId="6C0E665F" w14:textId="77777777" w:rsidR="008616C3" w:rsidRDefault="008616C3" w:rsidP="008616C3">
      <w:pPr>
        <w:pStyle w:val="Heading2"/>
      </w:pPr>
      <w:r w:rsidRPr="434A72FB">
        <w:t>Social value and environmental benefits:</w:t>
      </w:r>
    </w:p>
    <w:p w14:paraId="7F7A39B4" w14:textId="77777777" w:rsidR="008616C3" w:rsidRDefault="008616C3" w:rsidP="008616C3">
      <w:pPr>
        <w:spacing w:before="240" w:after="240"/>
        <w:rPr>
          <w:rFonts w:eastAsia="Roboto" w:cs="Roboto"/>
        </w:rPr>
      </w:pPr>
      <w:r w:rsidRPr="00E4668E">
        <w:rPr>
          <w:rFonts w:eastAsia="Roboto" w:cs="Roboto"/>
        </w:rPr>
        <w:t xml:space="preserve">Resident engagement is central to maximising the social and environmental outcomes of retrofit programmes. When residents are fully informed, supported, and involved, they are more likely to use and </w:t>
      </w:r>
      <w:r w:rsidRPr="434A72FB">
        <w:rPr>
          <w:rFonts w:eastAsia="Roboto" w:cs="Roboto"/>
        </w:rPr>
        <w:t>maintain</w:t>
      </w:r>
      <w:r w:rsidRPr="00E4668E">
        <w:rPr>
          <w:rFonts w:eastAsia="Roboto" w:cs="Roboto"/>
        </w:rPr>
        <w:t xml:space="preserve"> retrofit measures effectively, which directly contributes to </w:t>
      </w:r>
      <w:r w:rsidRPr="434A72FB">
        <w:rPr>
          <w:rFonts w:eastAsia="Roboto" w:cs="Roboto"/>
        </w:rPr>
        <w:t>improved thermal comfort</w:t>
      </w:r>
      <w:r w:rsidRPr="00E4668E">
        <w:rPr>
          <w:rFonts w:eastAsia="Roboto" w:cs="Roboto"/>
        </w:rPr>
        <w:t xml:space="preserve"> within their homes. Warmer, more comfortable homes help reduce health risks, including those associated with cold or damp environments, and can have a positive impact on </w:t>
      </w:r>
      <w:r w:rsidRPr="434A72FB">
        <w:rPr>
          <w:rFonts w:eastAsia="Roboto" w:cs="Roboto"/>
        </w:rPr>
        <w:t>mental health and overall wellbeing.</w:t>
      </w:r>
    </w:p>
    <w:p w14:paraId="0F049D83" w14:textId="77777777" w:rsidR="008616C3" w:rsidRDefault="008616C3" w:rsidP="008616C3">
      <w:pPr>
        <w:spacing w:before="240" w:after="240"/>
        <w:rPr>
          <w:rFonts w:eastAsia="Roboto" w:cs="Roboto"/>
        </w:rPr>
      </w:pPr>
      <w:r w:rsidRPr="00E4668E">
        <w:rPr>
          <w:rFonts w:eastAsia="Roboto" w:cs="Roboto"/>
        </w:rPr>
        <w:t xml:space="preserve">Engagement also enables residents to realise </w:t>
      </w:r>
      <w:r w:rsidRPr="434A72FB">
        <w:rPr>
          <w:rFonts w:eastAsia="Roboto" w:cs="Roboto"/>
        </w:rPr>
        <w:t>reduced energy bills</w:t>
      </w:r>
      <w:r w:rsidRPr="00E4668E">
        <w:rPr>
          <w:rFonts w:eastAsia="Roboto" w:cs="Roboto"/>
        </w:rPr>
        <w:t xml:space="preserve">, improving household financial resilience and helping to tackle </w:t>
      </w:r>
      <w:r w:rsidRPr="434A72FB">
        <w:rPr>
          <w:rFonts w:eastAsia="Roboto" w:cs="Roboto"/>
        </w:rPr>
        <w:t>fuel poverty</w:t>
      </w:r>
      <w:r w:rsidRPr="00E4668E">
        <w:rPr>
          <w:rFonts w:eastAsia="Roboto" w:cs="Roboto"/>
        </w:rPr>
        <w:t xml:space="preserve">. When retrofits are successfully implemented and used correctly, they contribute to </w:t>
      </w:r>
      <w:r w:rsidRPr="434A72FB">
        <w:rPr>
          <w:rFonts w:eastAsia="Roboto" w:cs="Roboto"/>
        </w:rPr>
        <w:t>reduced carbon emissions, supporting local and national climate targets while fostering more sustainable communities.</w:t>
      </w:r>
    </w:p>
    <w:p w14:paraId="3F1B6C74" w14:textId="77777777" w:rsidR="008616C3" w:rsidRDefault="008616C3" w:rsidP="008616C3">
      <w:pPr>
        <w:spacing w:before="240" w:after="240"/>
        <w:rPr>
          <w:rFonts w:eastAsia="Roboto" w:cs="Roboto"/>
        </w:rPr>
      </w:pPr>
      <w:r w:rsidRPr="00E4668E">
        <w:rPr>
          <w:rFonts w:eastAsia="Roboto" w:cs="Roboto"/>
        </w:rPr>
        <w:t xml:space="preserve">Beyond environmental and financial benefits, resident engagement strengthens the </w:t>
      </w:r>
      <w:r w:rsidRPr="434A72FB">
        <w:rPr>
          <w:rFonts w:eastAsia="Roboto" w:cs="Roboto"/>
        </w:rPr>
        <w:t>relationship between residents and social housing providers</w:t>
      </w:r>
      <w:r w:rsidRPr="00E4668E">
        <w:rPr>
          <w:rFonts w:eastAsia="Roboto" w:cs="Roboto"/>
        </w:rPr>
        <w:t xml:space="preserve">. Positive interactions build trust, satisfaction, and willingness to </w:t>
      </w:r>
      <w:r w:rsidRPr="434A72FB">
        <w:rPr>
          <w:rFonts w:eastAsia="Roboto" w:cs="Roboto"/>
        </w:rPr>
        <w:t>participate</w:t>
      </w:r>
      <w:r w:rsidRPr="00E4668E">
        <w:rPr>
          <w:rFonts w:eastAsia="Roboto" w:cs="Roboto"/>
        </w:rPr>
        <w:t xml:space="preserve"> in future retrofit initiatives, enhancing social cohesion and the reputation of providers as responsive and </w:t>
      </w:r>
      <w:r w:rsidRPr="434A72FB">
        <w:rPr>
          <w:rFonts w:eastAsia="Roboto" w:cs="Roboto"/>
        </w:rPr>
        <w:t>resident-focused.</w:t>
      </w:r>
    </w:p>
    <w:p w14:paraId="1A1C6B05" w14:textId="77777777" w:rsidR="008616C3" w:rsidRPr="0012155D" w:rsidRDefault="008616C3" w:rsidP="008616C3">
      <w:pPr>
        <w:spacing w:before="240" w:after="240"/>
        <w:rPr>
          <w:rFonts w:eastAsia="Roboto" w:cs="Roboto"/>
        </w:rPr>
      </w:pPr>
      <w:r w:rsidRPr="434A72FB">
        <w:rPr>
          <w:rFonts w:eastAsia="Roboto" w:cs="Roboto"/>
        </w:rPr>
        <w:t>In combination, these benefits demonstrate</w:t>
      </w:r>
      <w:r w:rsidRPr="00E4668E">
        <w:rPr>
          <w:rFonts w:eastAsia="Roboto" w:cs="Roboto"/>
        </w:rPr>
        <w:t xml:space="preserve"> that investment in resident engagement is not only a practical delivery tool but also a mechanism for generating meaningful </w:t>
      </w:r>
      <w:r w:rsidRPr="434A72FB">
        <w:rPr>
          <w:rFonts w:eastAsia="Roboto" w:cs="Roboto"/>
        </w:rPr>
        <w:t>social value, environmental impact, and long-term community resilience.</w:t>
      </w:r>
    </w:p>
    <w:p w14:paraId="2236BC2C" w14:textId="77777777" w:rsidR="008267D3" w:rsidRDefault="008267D3" w:rsidP="1FD2742E">
      <w:pPr>
        <w:rPr>
          <w:rFonts w:eastAsia="Roboto" w:cs="Roboto"/>
          <w:b/>
          <w:bCs/>
          <w:highlight w:val="yellow"/>
        </w:rPr>
      </w:pPr>
    </w:p>
    <w:p w14:paraId="5AEDFA2C" w14:textId="77777777" w:rsidR="008267D3" w:rsidRDefault="008267D3" w:rsidP="1FD2742E">
      <w:pPr>
        <w:rPr>
          <w:rFonts w:eastAsia="Roboto" w:cs="Roboto"/>
          <w:b/>
          <w:bCs/>
          <w:highlight w:val="yellow"/>
        </w:rPr>
      </w:pPr>
    </w:p>
    <w:p w14:paraId="72003537" w14:textId="77777777" w:rsidR="008267D3" w:rsidRDefault="008267D3" w:rsidP="1FD2742E">
      <w:pPr>
        <w:rPr>
          <w:rFonts w:eastAsia="Roboto" w:cs="Roboto"/>
          <w:b/>
          <w:bCs/>
          <w:highlight w:val="yellow"/>
        </w:rPr>
      </w:pPr>
    </w:p>
    <w:p w14:paraId="7AE034B7" w14:textId="77777777" w:rsidR="00151D35" w:rsidRPr="00151D35" w:rsidRDefault="00151D35" w:rsidP="00151D35">
      <w:pPr>
        <w:rPr>
          <w:rFonts w:eastAsia="Roboto" w:cs="Roboto"/>
        </w:rPr>
      </w:pPr>
    </w:p>
    <w:p w14:paraId="472845DA" w14:textId="77777777" w:rsidR="00151D35" w:rsidRPr="00151D35" w:rsidRDefault="00151D35" w:rsidP="00151D35">
      <w:pPr>
        <w:rPr>
          <w:rFonts w:eastAsia="Roboto" w:cs="Roboto"/>
        </w:rPr>
      </w:pPr>
    </w:p>
    <w:p w14:paraId="52D5F291" w14:textId="77777777" w:rsidR="00151D35" w:rsidRDefault="00151D35" w:rsidP="1FD2742E">
      <w:pPr>
        <w:rPr>
          <w:rFonts w:eastAsia="Roboto" w:cs="Roboto"/>
          <w:b/>
          <w:bCs/>
        </w:rPr>
      </w:pPr>
    </w:p>
    <w:p w14:paraId="17B4FEC6" w14:textId="612BF86B" w:rsidR="002F5A28" w:rsidRPr="00320F83" w:rsidRDefault="00151D35" w:rsidP="00320F83">
      <w:pPr>
        <w:tabs>
          <w:tab w:val="left" w:pos="8180"/>
        </w:tabs>
        <w:rPr>
          <w:rFonts w:eastAsia="Roboto" w:cs="Roboto"/>
          <w:b/>
          <w:bCs/>
        </w:rPr>
      </w:pPr>
      <w:r>
        <w:rPr>
          <w:rFonts w:eastAsia="Roboto" w:cs="Roboto"/>
          <w:b/>
          <w:bCs/>
        </w:rPr>
        <w:tab/>
      </w:r>
    </w:p>
    <w:sectPr w:rsidR="002F5A28" w:rsidRPr="00320F83" w:rsidSect="00E839D3">
      <w:headerReference w:type="default" r:id="rId11"/>
      <w:footerReference w:type="default" r:id="rId12"/>
      <w:pgSz w:w="11906" w:h="16838"/>
      <w:pgMar w:top="1440"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07821" w14:textId="77777777" w:rsidR="00751D85" w:rsidRDefault="00751D85" w:rsidP="00DB3CA9">
      <w:pPr>
        <w:spacing w:after="0" w:line="240" w:lineRule="auto"/>
      </w:pPr>
      <w:r>
        <w:separator/>
      </w:r>
    </w:p>
  </w:endnote>
  <w:endnote w:type="continuationSeparator" w:id="0">
    <w:p w14:paraId="231DC5AC" w14:textId="77777777" w:rsidR="00751D85" w:rsidRDefault="00751D85" w:rsidP="00DB3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Headings CS)">
    <w:charset w:val="00"/>
    <w:family w:val="roman"/>
    <w:pitch w:val="default"/>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15BFD" w14:textId="5D07078E" w:rsidR="00AB49E6" w:rsidRDefault="00AB49E6">
    <w:pPr>
      <w:pStyle w:val="Footer"/>
    </w:pPr>
    <w:r>
      <w:rPr>
        <w:noProof/>
      </w:rPr>
      <w:drawing>
        <wp:anchor distT="0" distB="0" distL="114300" distR="114300" simplePos="0" relativeHeight="251659264" behindDoc="0" locked="0" layoutInCell="1" allowOverlap="1" wp14:anchorId="71B9BA0F" wp14:editId="3089F04A">
          <wp:simplePos x="0" y="0"/>
          <wp:positionH relativeFrom="column">
            <wp:posOffset>508000</wp:posOffset>
          </wp:positionH>
          <wp:positionV relativeFrom="paragraph">
            <wp:posOffset>-1008380</wp:posOffset>
          </wp:positionV>
          <wp:extent cx="7310928" cy="1346200"/>
          <wp:effectExtent l="0" t="0" r="0" b="0"/>
          <wp:wrapNone/>
          <wp:docPr id="18748034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357455" name="Picture 315357455"/>
                  <pic:cNvPicPr/>
                </pic:nvPicPr>
                <pic:blipFill>
                  <a:blip r:embed="rId1">
                    <a:extLst>
                      <a:ext uri="{28A0092B-C50C-407E-A947-70E740481C1C}">
                        <a14:useLocalDpi xmlns:a14="http://schemas.microsoft.com/office/drawing/2010/main" val="0"/>
                      </a:ext>
                    </a:extLst>
                  </a:blip>
                  <a:stretch>
                    <a:fillRect/>
                  </a:stretch>
                </pic:blipFill>
                <pic:spPr>
                  <a:xfrm>
                    <a:off x="0" y="0"/>
                    <a:ext cx="7310928" cy="1346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34843" w14:textId="77777777" w:rsidR="00751D85" w:rsidRDefault="00751D85" w:rsidP="00DB3CA9">
      <w:pPr>
        <w:spacing w:after="0" w:line="240" w:lineRule="auto"/>
      </w:pPr>
      <w:r>
        <w:separator/>
      </w:r>
    </w:p>
  </w:footnote>
  <w:footnote w:type="continuationSeparator" w:id="0">
    <w:p w14:paraId="414F06F2" w14:textId="77777777" w:rsidR="00751D85" w:rsidRDefault="00751D85" w:rsidP="00DB3C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89756" w14:textId="75DEEC96" w:rsidR="00DB3CA9" w:rsidRPr="00151D35" w:rsidRDefault="00AB49E6" w:rsidP="00151D35">
    <w:pPr>
      <w:pStyle w:val="Header"/>
      <w:rPr>
        <w:color w:val="65BFAE"/>
      </w:rPr>
    </w:pPr>
    <w:r>
      <w:rPr>
        <w:noProof/>
        <w:color w:val="65BFAE"/>
      </w:rPr>
      <w:drawing>
        <wp:anchor distT="0" distB="0" distL="114300" distR="114300" simplePos="0" relativeHeight="251660288" behindDoc="0" locked="0" layoutInCell="1" allowOverlap="1" wp14:anchorId="042733B4" wp14:editId="663AB99E">
          <wp:simplePos x="0" y="0"/>
          <wp:positionH relativeFrom="column">
            <wp:posOffset>-1389185</wp:posOffset>
          </wp:positionH>
          <wp:positionV relativeFrom="paragraph">
            <wp:posOffset>0</wp:posOffset>
          </wp:positionV>
          <wp:extent cx="5459472" cy="739140"/>
          <wp:effectExtent l="0" t="0" r="0" b="0"/>
          <wp:wrapNone/>
          <wp:docPr id="802907088" name="Picture 8" descr="A close-up of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105084" name="Picture 8" descr="A close-up of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498991" cy="744490"/>
                  </a:xfrm>
                  <a:prstGeom prst="rect">
                    <a:avLst/>
                  </a:prstGeom>
                </pic:spPr>
              </pic:pic>
            </a:graphicData>
          </a:graphic>
          <wp14:sizeRelH relativeFrom="page">
            <wp14:pctWidth>0</wp14:pctWidth>
          </wp14:sizeRelH>
          <wp14:sizeRelV relativeFrom="page">
            <wp14:pctHeight>0</wp14:pctHeight>
          </wp14:sizeRelV>
        </wp:anchor>
      </w:drawing>
    </w:r>
    <w:r w:rsidR="00151D35">
      <w:rPr>
        <w:noProof/>
        <w:color w:val="65BFAE"/>
      </w:rPr>
      <w:drawing>
        <wp:inline distT="0" distB="0" distL="0" distR="0" wp14:anchorId="5C45D78F" wp14:editId="4EF893C4">
          <wp:extent cx="0" cy="0"/>
          <wp:effectExtent l="0" t="0" r="0" b="0"/>
          <wp:docPr id="975039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414100" name="Picture 1594414100"/>
                  <pic:cNvPicPr/>
                </pic:nvPicPr>
                <pic:blipFill>
                  <a:blip r:embed="rId2"/>
                  <a:stretch>
                    <a:fillRect/>
                  </a:stretch>
                </pic:blipFill>
                <pic:spPr>
                  <a:xfrm>
                    <a:off x="0" y="0"/>
                    <a:ext cx="0" cy="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18EA"/>
    <w:multiLevelType w:val="hybridMultilevel"/>
    <w:tmpl w:val="6464B60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C10B70"/>
    <w:multiLevelType w:val="hybridMultilevel"/>
    <w:tmpl w:val="572220E2"/>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123FD3"/>
    <w:multiLevelType w:val="hybridMultilevel"/>
    <w:tmpl w:val="400A0ED6"/>
    <w:lvl w:ilvl="0" w:tplc="9702D04A">
      <w:numFmt w:val="bullet"/>
      <w:lvlText w:val="-"/>
      <w:lvlJc w:val="left"/>
      <w:pPr>
        <w:ind w:left="720" w:hanging="360"/>
      </w:pPr>
      <w:rPr>
        <w:rFonts w:ascii="Aptos Display" w:eastAsiaTheme="majorEastAsia" w:hAnsi="Aptos Display"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6A044A"/>
    <w:multiLevelType w:val="hybridMultilevel"/>
    <w:tmpl w:val="4D76115E"/>
    <w:lvl w:ilvl="0" w:tplc="357E8C92">
      <w:start w:val="2000"/>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447BC7"/>
    <w:multiLevelType w:val="multilevel"/>
    <w:tmpl w:val="A2E81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D40D56"/>
    <w:multiLevelType w:val="hybridMultilevel"/>
    <w:tmpl w:val="82906DEA"/>
    <w:lvl w:ilvl="0" w:tplc="656C6CF6">
      <w:numFmt w:val="bullet"/>
      <w:lvlText w:val="ü"/>
      <w:lvlJc w:val="left"/>
      <w:pPr>
        <w:ind w:left="567" w:hanging="340"/>
      </w:pPr>
      <w:rPr>
        <w:rFonts w:ascii="Wingdings" w:hAnsi="Wingdings" w:cs="Times New Roman (Headings CS)" w:hint="default"/>
        <w:b/>
        <w:i w:val="0"/>
        <w:color w:val="037A4C"/>
        <w:spacing w:val="0"/>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13806B5"/>
    <w:multiLevelType w:val="hybridMultilevel"/>
    <w:tmpl w:val="694E48A4"/>
    <w:lvl w:ilvl="0" w:tplc="A6A0E28E">
      <w:numFmt w:val="bullet"/>
      <w:lvlText w:val="ü"/>
      <w:lvlJc w:val="left"/>
      <w:pPr>
        <w:ind w:left="720" w:hanging="360"/>
      </w:pPr>
      <w:rPr>
        <w:rFonts w:ascii="Wingdings" w:hAnsi="Wingdings" w:cs="Times New Roman (Headings CS)" w:hint="default"/>
        <w:b/>
        <w:i w:val="0"/>
        <w:color w:val="037A4C"/>
        <w:spacing w:val="0"/>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A6A5E8C"/>
    <w:multiLevelType w:val="multilevel"/>
    <w:tmpl w:val="D9A8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F51692"/>
    <w:multiLevelType w:val="hybridMultilevel"/>
    <w:tmpl w:val="80D0326A"/>
    <w:lvl w:ilvl="0" w:tplc="008A0110">
      <w:numFmt w:val="bullet"/>
      <w:lvlText w:val="ü"/>
      <w:lvlJc w:val="left"/>
      <w:pPr>
        <w:ind w:left="587" w:hanging="360"/>
      </w:pPr>
      <w:rPr>
        <w:rFonts w:ascii="Wingdings" w:hAnsi="Wingdings" w:cs="Times New Roman (Headings CS)" w:hint="default"/>
        <w:b w:val="0"/>
        <w:i w:val="0"/>
        <w:color w:val="037A4C"/>
        <w:spacing w:val="0"/>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F714861"/>
    <w:multiLevelType w:val="hybridMultilevel"/>
    <w:tmpl w:val="DC8C8C24"/>
    <w:lvl w:ilvl="0" w:tplc="2A961E40">
      <w:numFmt w:val="bullet"/>
      <w:lvlText w:val="-"/>
      <w:lvlJc w:val="left"/>
      <w:pPr>
        <w:ind w:left="720" w:hanging="360"/>
      </w:pPr>
      <w:rPr>
        <w:rFonts w:ascii="Aptos Display" w:eastAsiaTheme="majorEastAsia" w:hAnsi="Aptos Display"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EB7B7C"/>
    <w:multiLevelType w:val="hybridMultilevel"/>
    <w:tmpl w:val="07BC39E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31844DFB"/>
    <w:multiLevelType w:val="hybridMultilevel"/>
    <w:tmpl w:val="C1BCEB62"/>
    <w:lvl w:ilvl="0" w:tplc="1D6E627C">
      <w:start w:val="200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4A7910"/>
    <w:multiLevelType w:val="hybridMultilevel"/>
    <w:tmpl w:val="E7E288CA"/>
    <w:lvl w:ilvl="0" w:tplc="116EE4E4">
      <w:start w:val="1"/>
      <w:numFmt w:val="bullet"/>
      <w:lvlText w:val=""/>
      <w:lvlJc w:val="left"/>
      <w:pPr>
        <w:ind w:left="720" w:hanging="360"/>
      </w:pPr>
      <w:rPr>
        <w:rFonts w:ascii="Symbol" w:hAnsi="Symbol" w:hint="default"/>
      </w:rPr>
    </w:lvl>
    <w:lvl w:ilvl="1" w:tplc="A094BB62">
      <w:start w:val="1"/>
      <w:numFmt w:val="bullet"/>
      <w:lvlText w:val="o"/>
      <w:lvlJc w:val="left"/>
      <w:pPr>
        <w:ind w:left="1440" w:hanging="360"/>
      </w:pPr>
      <w:rPr>
        <w:rFonts w:ascii="Courier New" w:hAnsi="Courier New" w:hint="default"/>
      </w:rPr>
    </w:lvl>
    <w:lvl w:ilvl="2" w:tplc="2AFEAEA6">
      <w:start w:val="1"/>
      <w:numFmt w:val="bullet"/>
      <w:lvlText w:val=""/>
      <w:lvlJc w:val="left"/>
      <w:pPr>
        <w:ind w:left="2160" w:hanging="360"/>
      </w:pPr>
      <w:rPr>
        <w:rFonts w:ascii="Wingdings" w:hAnsi="Wingdings" w:hint="default"/>
      </w:rPr>
    </w:lvl>
    <w:lvl w:ilvl="3" w:tplc="C022504E">
      <w:start w:val="1"/>
      <w:numFmt w:val="bullet"/>
      <w:lvlText w:val=""/>
      <w:lvlJc w:val="left"/>
      <w:pPr>
        <w:ind w:left="2880" w:hanging="360"/>
      </w:pPr>
      <w:rPr>
        <w:rFonts w:ascii="Symbol" w:hAnsi="Symbol" w:hint="default"/>
      </w:rPr>
    </w:lvl>
    <w:lvl w:ilvl="4" w:tplc="49E411BC">
      <w:start w:val="1"/>
      <w:numFmt w:val="bullet"/>
      <w:lvlText w:val="o"/>
      <w:lvlJc w:val="left"/>
      <w:pPr>
        <w:ind w:left="3600" w:hanging="360"/>
      </w:pPr>
      <w:rPr>
        <w:rFonts w:ascii="Courier New" w:hAnsi="Courier New" w:hint="default"/>
      </w:rPr>
    </w:lvl>
    <w:lvl w:ilvl="5" w:tplc="AFA607E4">
      <w:start w:val="1"/>
      <w:numFmt w:val="bullet"/>
      <w:lvlText w:val=""/>
      <w:lvlJc w:val="left"/>
      <w:pPr>
        <w:ind w:left="4320" w:hanging="360"/>
      </w:pPr>
      <w:rPr>
        <w:rFonts w:ascii="Wingdings" w:hAnsi="Wingdings" w:hint="default"/>
      </w:rPr>
    </w:lvl>
    <w:lvl w:ilvl="6" w:tplc="FB8CEBE4">
      <w:start w:val="1"/>
      <w:numFmt w:val="bullet"/>
      <w:lvlText w:val=""/>
      <w:lvlJc w:val="left"/>
      <w:pPr>
        <w:ind w:left="5040" w:hanging="360"/>
      </w:pPr>
      <w:rPr>
        <w:rFonts w:ascii="Symbol" w:hAnsi="Symbol" w:hint="default"/>
      </w:rPr>
    </w:lvl>
    <w:lvl w:ilvl="7" w:tplc="38C8DA8E">
      <w:start w:val="1"/>
      <w:numFmt w:val="bullet"/>
      <w:lvlText w:val="o"/>
      <w:lvlJc w:val="left"/>
      <w:pPr>
        <w:ind w:left="5760" w:hanging="360"/>
      </w:pPr>
      <w:rPr>
        <w:rFonts w:ascii="Courier New" w:hAnsi="Courier New" w:hint="default"/>
      </w:rPr>
    </w:lvl>
    <w:lvl w:ilvl="8" w:tplc="13EA6DF8">
      <w:start w:val="1"/>
      <w:numFmt w:val="bullet"/>
      <w:lvlText w:val=""/>
      <w:lvlJc w:val="left"/>
      <w:pPr>
        <w:ind w:left="6480" w:hanging="360"/>
      </w:pPr>
      <w:rPr>
        <w:rFonts w:ascii="Wingdings" w:hAnsi="Wingdings" w:hint="default"/>
      </w:rPr>
    </w:lvl>
  </w:abstractNum>
  <w:abstractNum w:abstractNumId="13" w15:restartNumberingAfterBreak="0">
    <w:nsid w:val="3C8F6DF9"/>
    <w:multiLevelType w:val="hybridMultilevel"/>
    <w:tmpl w:val="7504B2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E8D60E0"/>
    <w:multiLevelType w:val="hybridMultilevel"/>
    <w:tmpl w:val="2580190C"/>
    <w:lvl w:ilvl="0" w:tplc="A6A0E28E">
      <w:numFmt w:val="bullet"/>
      <w:lvlText w:val="ü"/>
      <w:lvlJc w:val="left"/>
      <w:pPr>
        <w:ind w:left="587" w:hanging="360"/>
      </w:pPr>
      <w:rPr>
        <w:rFonts w:ascii="Wingdings" w:hAnsi="Wingdings" w:cs="Times New Roman (Headings CS)" w:hint="default"/>
        <w:b/>
        <w:i w:val="0"/>
        <w:color w:val="037A4C"/>
        <w:spacing w:val="0"/>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2D23F6B"/>
    <w:multiLevelType w:val="hybridMultilevel"/>
    <w:tmpl w:val="7708E606"/>
    <w:lvl w:ilvl="0" w:tplc="008A0110">
      <w:numFmt w:val="bullet"/>
      <w:lvlText w:val="ü"/>
      <w:lvlJc w:val="left"/>
      <w:pPr>
        <w:ind w:left="567" w:hanging="340"/>
      </w:pPr>
      <w:rPr>
        <w:rFonts w:ascii="Wingdings" w:hAnsi="Wingdings" w:cs="Times New Roman (Headings CS)" w:hint="default"/>
        <w:b w:val="0"/>
        <w:i w:val="0"/>
        <w:color w:val="037A4C"/>
        <w:spacing w:val="0"/>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6126A0D"/>
    <w:multiLevelType w:val="hybridMultilevel"/>
    <w:tmpl w:val="3F680DEC"/>
    <w:lvl w:ilvl="0" w:tplc="A6A0E28E">
      <w:numFmt w:val="bullet"/>
      <w:lvlText w:val="ü"/>
      <w:lvlJc w:val="left"/>
      <w:pPr>
        <w:ind w:left="720" w:hanging="360"/>
      </w:pPr>
      <w:rPr>
        <w:rFonts w:ascii="Wingdings" w:hAnsi="Wingdings" w:cs="Times New Roman (Headings CS)" w:hint="default"/>
        <w:b/>
        <w:i w:val="0"/>
        <w:color w:val="037A4C"/>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63570DC"/>
    <w:multiLevelType w:val="hybridMultilevel"/>
    <w:tmpl w:val="972A9E8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580C0A77"/>
    <w:multiLevelType w:val="hybridMultilevel"/>
    <w:tmpl w:val="2C9CD6C4"/>
    <w:lvl w:ilvl="0" w:tplc="008A0110">
      <w:numFmt w:val="bullet"/>
      <w:lvlText w:val="ü"/>
      <w:lvlJc w:val="left"/>
      <w:pPr>
        <w:ind w:left="720" w:hanging="360"/>
      </w:pPr>
      <w:rPr>
        <w:rFonts w:ascii="Wingdings" w:hAnsi="Wingdings" w:cs="Times New Roman (Headings CS)" w:hint="default"/>
        <w:b w:val="0"/>
        <w:i w:val="0"/>
        <w:color w:val="037A4C"/>
        <w:spacing w:val="0"/>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7D702C"/>
    <w:multiLevelType w:val="hybridMultilevel"/>
    <w:tmpl w:val="DC44A724"/>
    <w:lvl w:ilvl="0" w:tplc="F42E091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AC33B9"/>
    <w:multiLevelType w:val="hybridMultilevel"/>
    <w:tmpl w:val="17EAB3E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39321FA"/>
    <w:multiLevelType w:val="hybridMultilevel"/>
    <w:tmpl w:val="4AB0ADB8"/>
    <w:lvl w:ilvl="0" w:tplc="008A0110">
      <w:numFmt w:val="bullet"/>
      <w:lvlText w:val="ü"/>
      <w:lvlJc w:val="left"/>
      <w:pPr>
        <w:ind w:left="720" w:hanging="360"/>
      </w:pPr>
      <w:rPr>
        <w:rFonts w:ascii="Wingdings" w:hAnsi="Wingdings" w:cs="Times New Roman (Headings CS)" w:hint="default"/>
        <w:b w:val="0"/>
        <w:i w:val="0"/>
        <w:color w:val="037A4C"/>
        <w:spacing w:val="0"/>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317F54"/>
    <w:multiLevelType w:val="hybridMultilevel"/>
    <w:tmpl w:val="A16A124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7845287"/>
    <w:multiLevelType w:val="hybridMultilevel"/>
    <w:tmpl w:val="B75260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7B9843BE"/>
    <w:multiLevelType w:val="hybridMultilevel"/>
    <w:tmpl w:val="2BE8C238"/>
    <w:lvl w:ilvl="0" w:tplc="0EC05F22">
      <w:start w:val="2000"/>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D133BF"/>
    <w:multiLevelType w:val="multilevel"/>
    <w:tmpl w:val="EC169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0030547">
    <w:abstractNumId w:val="11"/>
  </w:num>
  <w:num w:numId="2" w16cid:durableId="1020668166">
    <w:abstractNumId w:val="24"/>
  </w:num>
  <w:num w:numId="3" w16cid:durableId="471753214">
    <w:abstractNumId w:val="3"/>
  </w:num>
  <w:num w:numId="4" w16cid:durableId="871841742">
    <w:abstractNumId w:val="19"/>
  </w:num>
  <w:num w:numId="5" w16cid:durableId="217057624">
    <w:abstractNumId w:val="9"/>
  </w:num>
  <w:num w:numId="6" w16cid:durableId="518354206">
    <w:abstractNumId w:val="2"/>
  </w:num>
  <w:num w:numId="7" w16cid:durableId="1302419869">
    <w:abstractNumId w:val="16"/>
  </w:num>
  <w:num w:numId="8" w16cid:durableId="1435007999">
    <w:abstractNumId w:val="5"/>
  </w:num>
  <w:num w:numId="9" w16cid:durableId="912813851">
    <w:abstractNumId w:val="15"/>
  </w:num>
  <w:num w:numId="10" w16cid:durableId="611395985">
    <w:abstractNumId w:val="18"/>
  </w:num>
  <w:num w:numId="11" w16cid:durableId="537476808">
    <w:abstractNumId w:val="8"/>
  </w:num>
  <w:num w:numId="12" w16cid:durableId="1257251014">
    <w:abstractNumId w:val="21"/>
  </w:num>
  <w:num w:numId="13" w16cid:durableId="155801159">
    <w:abstractNumId w:val="6"/>
  </w:num>
  <w:num w:numId="14" w16cid:durableId="771977323">
    <w:abstractNumId w:val="14"/>
  </w:num>
  <w:num w:numId="15" w16cid:durableId="2053075488">
    <w:abstractNumId w:val="20"/>
  </w:num>
  <w:num w:numId="16" w16cid:durableId="1661154083">
    <w:abstractNumId w:val="23"/>
  </w:num>
  <w:num w:numId="17" w16cid:durableId="171838142">
    <w:abstractNumId w:val="17"/>
  </w:num>
  <w:num w:numId="18" w16cid:durableId="92017962">
    <w:abstractNumId w:val="0"/>
  </w:num>
  <w:num w:numId="19" w16cid:durableId="850415092">
    <w:abstractNumId w:val="13"/>
  </w:num>
  <w:num w:numId="20" w16cid:durableId="291713857">
    <w:abstractNumId w:val="10"/>
  </w:num>
  <w:num w:numId="21" w16cid:durableId="359354508">
    <w:abstractNumId w:val="22"/>
  </w:num>
  <w:num w:numId="22" w16cid:durableId="2072072998">
    <w:abstractNumId w:val="1"/>
  </w:num>
  <w:num w:numId="23" w16cid:durableId="629097255">
    <w:abstractNumId w:val="12"/>
  </w:num>
  <w:num w:numId="24" w16cid:durableId="707337528">
    <w:abstractNumId w:val="25"/>
  </w:num>
  <w:num w:numId="25" w16cid:durableId="1295402449">
    <w:abstractNumId w:val="7"/>
  </w:num>
  <w:num w:numId="26" w16cid:durableId="828428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A28"/>
    <w:rsid w:val="00010333"/>
    <w:rsid w:val="00032383"/>
    <w:rsid w:val="00037EC0"/>
    <w:rsid w:val="00050F21"/>
    <w:rsid w:val="00064867"/>
    <w:rsid w:val="000672AC"/>
    <w:rsid w:val="00076C62"/>
    <w:rsid w:val="00077286"/>
    <w:rsid w:val="0008354C"/>
    <w:rsid w:val="00093C4A"/>
    <w:rsid w:val="000A340C"/>
    <w:rsid w:val="000A4DAC"/>
    <w:rsid w:val="000A61BA"/>
    <w:rsid w:val="000C309F"/>
    <w:rsid w:val="000D332D"/>
    <w:rsid w:val="000D3E05"/>
    <w:rsid w:val="0010003F"/>
    <w:rsid w:val="00100287"/>
    <w:rsid w:val="00111FEF"/>
    <w:rsid w:val="001373ED"/>
    <w:rsid w:val="00137A92"/>
    <w:rsid w:val="00140E4C"/>
    <w:rsid w:val="00151D35"/>
    <w:rsid w:val="00152D4E"/>
    <w:rsid w:val="001545C5"/>
    <w:rsid w:val="00157ABF"/>
    <w:rsid w:val="00161BA0"/>
    <w:rsid w:val="00165067"/>
    <w:rsid w:val="001739D3"/>
    <w:rsid w:val="0018565B"/>
    <w:rsid w:val="00193354"/>
    <w:rsid w:val="001C29AA"/>
    <w:rsid w:val="001D5FB5"/>
    <w:rsid w:val="001E678C"/>
    <w:rsid w:val="002139EE"/>
    <w:rsid w:val="00220D0B"/>
    <w:rsid w:val="00222204"/>
    <w:rsid w:val="00226968"/>
    <w:rsid w:val="002415FA"/>
    <w:rsid w:val="0027162A"/>
    <w:rsid w:val="002A679B"/>
    <w:rsid w:val="002C15C3"/>
    <w:rsid w:val="002C185D"/>
    <w:rsid w:val="002C1973"/>
    <w:rsid w:val="002D0F03"/>
    <w:rsid w:val="002D3452"/>
    <w:rsid w:val="002F5A28"/>
    <w:rsid w:val="002F7275"/>
    <w:rsid w:val="0030700D"/>
    <w:rsid w:val="00310A7E"/>
    <w:rsid w:val="003133AF"/>
    <w:rsid w:val="0031452E"/>
    <w:rsid w:val="00314F7F"/>
    <w:rsid w:val="00320F83"/>
    <w:rsid w:val="00325862"/>
    <w:rsid w:val="003318F6"/>
    <w:rsid w:val="003618F0"/>
    <w:rsid w:val="00362721"/>
    <w:rsid w:val="00376432"/>
    <w:rsid w:val="003972EE"/>
    <w:rsid w:val="003A06D2"/>
    <w:rsid w:val="003A30EF"/>
    <w:rsid w:val="003B6F91"/>
    <w:rsid w:val="003C1E41"/>
    <w:rsid w:val="003D1BF7"/>
    <w:rsid w:val="003E2CFC"/>
    <w:rsid w:val="003F4D22"/>
    <w:rsid w:val="003F5A05"/>
    <w:rsid w:val="0041045B"/>
    <w:rsid w:val="00412BC6"/>
    <w:rsid w:val="00424671"/>
    <w:rsid w:val="00435DF5"/>
    <w:rsid w:val="00437E47"/>
    <w:rsid w:val="00441BA3"/>
    <w:rsid w:val="00457C65"/>
    <w:rsid w:val="0046555E"/>
    <w:rsid w:val="004812E0"/>
    <w:rsid w:val="00484197"/>
    <w:rsid w:val="00486620"/>
    <w:rsid w:val="00496A08"/>
    <w:rsid w:val="004E48B3"/>
    <w:rsid w:val="004F406C"/>
    <w:rsid w:val="00520143"/>
    <w:rsid w:val="00530082"/>
    <w:rsid w:val="00534F2D"/>
    <w:rsid w:val="005447C9"/>
    <w:rsid w:val="00562578"/>
    <w:rsid w:val="0056327E"/>
    <w:rsid w:val="00566784"/>
    <w:rsid w:val="00576341"/>
    <w:rsid w:val="00582FDC"/>
    <w:rsid w:val="0059094F"/>
    <w:rsid w:val="005969B6"/>
    <w:rsid w:val="005D02C4"/>
    <w:rsid w:val="005D5BBB"/>
    <w:rsid w:val="005F20FF"/>
    <w:rsid w:val="005F6691"/>
    <w:rsid w:val="005FCDBD"/>
    <w:rsid w:val="00611890"/>
    <w:rsid w:val="00626B76"/>
    <w:rsid w:val="00636FA8"/>
    <w:rsid w:val="00673BDE"/>
    <w:rsid w:val="006819D4"/>
    <w:rsid w:val="006A2A99"/>
    <w:rsid w:val="006B361A"/>
    <w:rsid w:val="006D0EF6"/>
    <w:rsid w:val="00703EA8"/>
    <w:rsid w:val="00737CF3"/>
    <w:rsid w:val="00742C56"/>
    <w:rsid w:val="00750388"/>
    <w:rsid w:val="00751D85"/>
    <w:rsid w:val="00760393"/>
    <w:rsid w:val="007675A6"/>
    <w:rsid w:val="00770B91"/>
    <w:rsid w:val="00776C21"/>
    <w:rsid w:val="00784CFA"/>
    <w:rsid w:val="00786B58"/>
    <w:rsid w:val="00791A69"/>
    <w:rsid w:val="00797110"/>
    <w:rsid w:val="007B4EDC"/>
    <w:rsid w:val="007B6952"/>
    <w:rsid w:val="007B7E2E"/>
    <w:rsid w:val="007D147F"/>
    <w:rsid w:val="007D1D3E"/>
    <w:rsid w:val="007E2DFA"/>
    <w:rsid w:val="007E757A"/>
    <w:rsid w:val="008006B5"/>
    <w:rsid w:val="00800DE6"/>
    <w:rsid w:val="00803B1B"/>
    <w:rsid w:val="008146AE"/>
    <w:rsid w:val="008267D3"/>
    <w:rsid w:val="0083559C"/>
    <w:rsid w:val="00835D6B"/>
    <w:rsid w:val="0083638A"/>
    <w:rsid w:val="00836D7A"/>
    <w:rsid w:val="008442F3"/>
    <w:rsid w:val="008525DB"/>
    <w:rsid w:val="00852BC4"/>
    <w:rsid w:val="008616C3"/>
    <w:rsid w:val="008721D6"/>
    <w:rsid w:val="00873A83"/>
    <w:rsid w:val="00892244"/>
    <w:rsid w:val="008964D9"/>
    <w:rsid w:val="008B501C"/>
    <w:rsid w:val="008C2F3D"/>
    <w:rsid w:val="008C3BA6"/>
    <w:rsid w:val="008D2843"/>
    <w:rsid w:val="008D5F41"/>
    <w:rsid w:val="008D6A62"/>
    <w:rsid w:val="008E3C45"/>
    <w:rsid w:val="008E551D"/>
    <w:rsid w:val="00904381"/>
    <w:rsid w:val="00905F98"/>
    <w:rsid w:val="0091096B"/>
    <w:rsid w:val="00921969"/>
    <w:rsid w:val="0092716B"/>
    <w:rsid w:val="009561FC"/>
    <w:rsid w:val="0098079C"/>
    <w:rsid w:val="009808A7"/>
    <w:rsid w:val="00984496"/>
    <w:rsid w:val="00992B6E"/>
    <w:rsid w:val="009A1CB2"/>
    <w:rsid w:val="009C1621"/>
    <w:rsid w:val="009C629B"/>
    <w:rsid w:val="009D1DF3"/>
    <w:rsid w:val="009F34A9"/>
    <w:rsid w:val="00A017E4"/>
    <w:rsid w:val="00A040D9"/>
    <w:rsid w:val="00A102D1"/>
    <w:rsid w:val="00A20005"/>
    <w:rsid w:val="00A31DE4"/>
    <w:rsid w:val="00A33362"/>
    <w:rsid w:val="00A40044"/>
    <w:rsid w:val="00A5112F"/>
    <w:rsid w:val="00A817D7"/>
    <w:rsid w:val="00A82BEB"/>
    <w:rsid w:val="00A87CC4"/>
    <w:rsid w:val="00A9303C"/>
    <w:rsid w:val="00AB49E6"/>
    <w:rsid w:val="00AB7930"/>
    <w:rsid w:val="00AC23C5"/>
    <w:rsid w:val="00AC5236"/>
    <w:rsid w:val="00AD530F"/>
    <w:rsid w:val="00AE0F29"/>
    <w:rsid w:val="00AF1369"/>
    <w:rsid w:val="00B10A82"/>
    <w:rsid w:val="00B15876"/>
    <w:rsid w:val="00B37433"/>
    <w:rsid w:val="00B37846"/>
    <w:rsid w:val="00B42621"/>
    <w:rsid w:val="00B50F63"/>
    <w:rsid w:val="00B63748"/>
    <w:rsid w:val="00B67DEE"/>
    <w:rsid w:val="00B8267B"/>
    <w:rsid w:val="00B8627C"/>
    <w:rsid w:val="00B87F1E"/>
    <w:rsid w:val="00B94EF5"/>
    <w:rsid w:val="00B95433"/>
    <w:rsid w:val="00BA2775"/>
    <w:rsid w:val="00BF0072"/>
    <w:rsid w:val="00BF75F5"/>
    <w:rsid w:val="00C04F3F"/>
    <w:rsid w:val="00C224C4"/>
    <w:rsid w:val="00C22F6C"/>
    <w:rsid w:val="00C269F0"/>
    <w:rsid w:val="00C421DB"/>
    <w:rsid w:val="00C51633"/>
    <w:rsid w:val="00C60BD8"/>
    <w:rsid w:val="00C65EB9"/>
    <w:rsid w:val="00C73F49"/>
    <w:rsid w:val="00C73FCD"/>
    <w:rsid w:val="00C9486C"/>
    <w:rsid w:val="00CA2092"/>
    <w:rsid w:val="00CC2452"/>
    <w:rsid w:val="00CC2CBF"/>
    <w:rsid w:val="00CC71E9"/>
    <w:rsid w:val="00CD231C"/>
    <w:rsid w:val="00CD33A2"/>
    <w:rsid w:val="00CE2C7A"/>
    <w:rsid w:val="00CE5951"/>
    <w:rsid w:val="00CF2489"/>
    <w:rsid w:val="00D054BE"/>
    <w:rsid w:val="00D269A3"/>
    <w:rsid w:val="00D32C26"/>
    <w:rsid w:val="00D35755"/>
    <w:rsid w:val="00D35A33"/>
    <w:rsid w:val="00D55CC4"/>
    <w:rsid w:val="00D75A4E"/>
    <w:rsid w:val="00D77C24"/>
    <w:rsid w:val="00D77DE9"/>
    <w:rsid w:val="00D8658F"/>
    <w:rsid w:val="00D86F72"/>
    <w:rsid w:val="00D91504"/>
    <w:rsid w:val="00D9274D"/>
    <w:rsid w:val="00D93CFD"/>
    <w:rsid w:val="00DA7A24"/>
    <w:rsid w:val="00DB3CA9"/>
    <w:rsid w:val="00DC06B6"/>
    <w:rsid w:val="00DC5982"/>
    <w:rsid w:val="00DD1897"/>
    <w:rsid w:val="00DD50F8"/>
    <w:rsid w:val="00DE25AC"/>
    <w:rsid w:val="00DF1466"/>
    <w:rsid w:val="00E11E2B"/>
    <w:rsid w:val="00E7060F"/>
    <w:rsid w:val="00E70ED4"/>
    <w:rsid w:val="00E777E4"/>
    <w:rsid w:val="00E77977"/>
    <w:rsid w:val="00E839D3"/>
    <w:rsid w:val="00E84BC1"/>
    <w:rsid w:val="00E959F7"/>
    <w:rsid w:val="00EB3EB5"/>
    <w:rsid w:val="00EC263A"/>
    <w:rsid w:val="00EC2B56"/>
    <w:rsid w:val="00EC49D2"/>
    <w:rsid w:val="00F01CC8"/>
    <w:rsid w:val="00F2162F"/>
    <w:rsid w:val="00F473D7"/>
    <w:rsid w:val="00F47A61"/>
    <w:rsid w:val="00F53ECE"/>
    <w:rsid w:val="00F73086"/>
    <w:rsid w:val="00F7340C"/>
    <w:rsid w:val="00F756EB"/>
    <w:rsid w:val="00F77A6C"/>
    <w:rsid w:val="00F8096B"/>
    <w:rsid w:val="00F818D7"/>
    <w:rsid w:val="00F82D7C"/>
    <w:rsid w:val="00F85A32"/>
    <w:rsid w:val="00F87900"/>
    <w:rsid w:val="00FB1A36"/>
    <w:rsid w:val="00FB2001"/>
    <w:rsid w:val="00FD3E19"/>
    <w:rsid w:val="00FE4656"/>
    <w:rsid w:val="00FF1277"/>
    <w:rsid w:val="00FF6E04"/>
    <w:rsid w:val="0898D6E2"/>
    <w:rsid w:val="09ACE419"/>
    <w:rsid w:val="0A06A1CF"/>
    <w:rsid w:val="0A626F41"/>
    <w:rsid w:val="0E8DFBB2"/>
    <w:rsid w:val="1F2EAB4E"/>
    <w:rsid w:val="1FD2742E"/>
    <w:rsid w:val="24A1E6D8"/>
    <w:rsid w:val="27A93BD9"/>
    <w:rsid w:val="27CE2375"/>
    <w:rsid w:val="2F4C956E"/>
    <w:rsid w:val="3235772B"/>
    <w:rsid w:val="3797E4A5"/>
    <w:rsid w:val="4614BF0C"/>
    <w:rsid w:val="4F28F5CB"/>
    <w:rsid w:val="59E8FD6A"/>
    <w:rsid w:val="61550E9E"/>
    <w:rsid w:val="64EAF128"/>
    <w:rsid w:val="683880B3"/>
    <w:rsid w:val="6C3332E4"/>
    <w:rsid w:val="7DA3615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8CEFBB"/>
  <w15:chartTrackingRefBased/>
  <w15:docId w15:val="{DFA661EC-01EF-4748-9550-020DF6E05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7D3"/>
    <w:rPr>
      <w:rFonts w:ascii="Roboto" w:hAnsi="Roboto"/>
    </w:rPr>
  </w:style>
  <w:style w:type="paragraph" w:styleId="Heading1">
    <w:name w:val="heading 1"/>
    <w:basedOn w:val="Normal"/>
    <w:next w:val="Normal"/>
    <w:link w:val="Heading1Char"/>
    <w:uiPriority w:val="9"/>
    <w:qFormat/>
    <w:rsid w:val="008267D3"/>
    <w:pPr>
      <w:keepNext/>
      <w:keepLines/>
      <w:spacing w:before="360" w:after="80"/>
      <w:outlineLvl w:val="0"/>
    </w:pPr>
    <w:rPr>
      <w:rFonts w:eastAsiaTheme="majorEastAsia" w:cstheme="majorBidi"/>
      <w:b/>
      <w:color w:val="037A4C"/>
      <w:sz w:val="40"/>
      <w:szCs w:val="40"/>
    </w:rPr>
  </w:style>
  <w:style w:type="paragraph" w:styleId="Heading2">
    <w:name w:val="heading 2"/>
    <w:basedOn w:val="Normal"/>
    <w:next w:val="Normal"/>
    <w:link w:val="Heading2Char"/>
    <w:uiPriority w:val="9"/>
    <w:unhideWhenUsed/>
    <w:qFormat/>
    <w:rsid w:val="00AB49E6"/>
    <w:pPr>
      <w:keepNext/>
      <w:keepLines/>
      <w:spacing w:before="160" w:after="240"/>
      <w:outlineLvl w:val="1"/>
    </w:pPr>
    <w:rPr>
      <w:rFonts w:eastAsiaTheme="majorEastAsia" w:cstheme="majorBidi"/>
      <w:b/>
      <w:color w:val="037A4C"/>
      <w:sz w:val="32"/>
      <w:szCs w:val="32"/>
    </w:rPr>
  </w:style>
  <w:style w:type="paragraph" w:styleId="Heading3">
    <w:name w:val="heading 3"/>
    <w:basedOn w:val="Normal"/>
    <w:next w:val="Normal"/>
    <w:link w:val="Heading3Char"/>
    <w:uiPriority w:val="9"/>
    <w:unhideWhenUsed/>
    <w:qFormat/>
    <w:rsid w:val="00852BC4"/>
    <w:pPr>
      <w:keepNext/>
      <w:keepLines/>
      <w:spacing w:after="120"/>
      <w:outlineLvl w:val="2"/>
    </w:pPr>
    <w:rPr>
      <w:rFonts w:eastAsiaTheme="majorEastAsia" w:cstheme="majorBidi"/>
      <w:b/>
      <w:color w:val="037A4C"/>
      <w:sz w:val="28"/>
      <w:szCs w:val="28"/>
    </w:rPr>
  </w:style>
  <w:style w:type="paragraph" w:styleId="Heading4">
    <w:name w:val="heading 4"/>
    <w:basedOn w:val="Normal"/>
    <w:next w:val="Normal"/>
    <w:link w:val="Heading4Char"/>
    <w:uiPriority w:val="9"/>
    <w:semiHidden/>
    <w:unhideWhenUsed/>
    <w:qFormat/>
    <w:rsid w:val="002F5A28"/>
    <w:pPr>
      <w:keepNext/>
      <w:keepLines/>
      <w:spacing w:before="80" w:after="40"/>
      <w:outlineLvl w:val="3"/>
    </w:pPr>
    <w:rPr>
      <w:rFonts w:eastAsiaTheme="majorEastAsia" w:cstheme="majorBidi"/>
      <w:i/>
      <w:iCs/>
      <w:color w:val="0B5294" w:themeColor="accent1" w:themeShade="BF"/>
    </w:rPr>
  </w:style>
  <w:style w:type="paragraph" w:styleId="Heading5">
    <w:name w:val="heading 5"/>
    <w:basedOn w:val="Normal"/>
    <w:next w:val="Normal"/>
    <w:link w:val="Heading5Char"/>
    <w:uiPriority w:val="9"/>
    <w:semiHidden/>
    <w:unhideWhenUsed/>
    <w:qFormat/>
    <w:rsid w:val="002F5A28"/>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2F5A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5A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5A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5A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67D3"/>
    <w:rPr>
      <w:rFonts w:ascii="Roboto" w:eastAsiaTheme="majorEastAsia" w:hAnsi="Roboto" w:cstheme="majorBidi"/>
      <w:b/>
      <w:color w:val="037A4C"/>
      <w:sz w:val="40"/>
      <w:szCs w:val="40"/>
    </w:rPr>
  </w:style>
  <w:style w:type="character" w:customStyle="1" w:styleId="Heading2Char">
    <w:name w:val="Heading 2 Char"/>
    <w:basedOn w:val="DefaultParagraphFont"/>
    <w:link w:val="Heading2"/>
    <w:uiPriority w:val="9"/>
    <w:rsid w:val="00AB49E6"/>
    <w:rPr>
      <w:rFonts w:ascii="Roboto" w:eastAsiaTheme="majorEastAsia" w:hAnsi="Roboto" w:cstheme="majorBidi"/>
      <w:b/>
      <w:color w:val="037A4C"/>
      <w:sz w:val="32"/>
      <w:szCs w:val="32"/>
    </w:rPr>
  </w:style>
  <w:style w:type="character" w:customStyle="1" w:styleId="Heading3Char">
    <w:name w:val="Heading 3 Char"/>
    <w:basedOn w:val="DefaultParagraphFont"/>
    <w:link w:val="Heading3"/>
    <w:uiPriority w:val="9"/>
    <w:rsid w:val="00852BC4"/>
    <w:rPr>
      <w:rFonts w:ascii="Roboto" w:eastAsiaTheme="majorEastAsia" w:hAnsi="Roboto" w:cstheme="majorBidi"/>
      <w:b/>
      <w:color w:val="037A4C"/>
      <w:sz w:val="28"/>
      <w:szCs w:val="28"/>
    </w:rPr>
  </w:style>
  <w:style w:type="character" w:customStyle="1" w:styleId="Heading4Char">
    <w:name w:val="Heading 4 Char"/>
    <w:basedOn w:val="DefaultParagraphFont"/>
    <w:link w:val="Heading4"/>
    <w:uiPriority w:val="9"/>
    <w:semiHidden/>
    <w:rsid w:val="002F5A28"/>
    <w:rPr>
      <w:rFonts w:eastAsiaTheme="majorEastAsia" w:cstheme="majorBidi"/>
      <w:i/>
      <w:iCs/>
      <w:color w:val="0B5294" w:themeColor="accent1" w:themeShade="BF"/>
    </w:rPr>
  </w:style>
  <w:style w:type="character" w:customStyle="1" w:styleId="Heading5Char">
    <w:name w:val="Heading 5 Char"/>
    <w:basedOn w:val="DefaultParagraphFont"/>
    <w:link w:val="Heading5"/>
    <w:uiPriority w:val="9"/>
    <w:semiHidden/>
    <w:rsid w:val="002F5A28"/>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2F5A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5A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5A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5A28"/>
    <w:rPr>
      <w:rFonts w:eastAsiaTheme="majorEastAsia" w:cstheme="majorBidi"/>
      <w:color w:val="272727" w:themeColor="text1" w:themeTint="D8"/>
    </w:rPr>
  </w:style>
  <w:style w:type="paragraph" w:styleId="Title">
    <w:name w:val="Title"/>
    <w:basedOn w:val="Normal"/>
    <w:next w:val="Normal"/>
    <w:link w:val="TitleChar"/>
    <w:uiPriority w:val="10"/>
    <w:qFormat/>
    <w:rsid w:val="00AD530F"/>
    <w:pPr>
      <w:spacing w:after="80" w:line="240" w:lineRule="auto"/>
      <w:contextualSpacing/>
    </w:pPr>
    <w:rPr>
      <w:rFonts w:eastAsiaTheme="majorEastAsia" w:cstheme="majorBidi"/>
      <w:color w:val="037A4C"/>
      <w:spacing w:val="-10"/>
      <w:kern w:val="28"/>
      <w:sz w:val="48"/>
      <w:szCs w:val="56"/>
    </w:rPr>
  </w:style>
  <w:style w:type="character" w:customStyle="1" w:styleId="TitleChar">
    <w:name w:val="Title Char"/>
    <w:basedOn w:val="DefaultParagraphFont"/>
    <w:link w:val="Title"/>
    <w:uiPriority w:val="10"/>
    <w:rsid w:val="00AD530F"/>
    <w:rPr>
      <w:rFonts w:ascii="Roboto" w:eastAsiaTheme="majorEastAsia" w:hAnsi="Roboto" w:cstheme="majorBidi"/>
      <w:color w:val="037A4C"/>
      <w:spacing w:val="-10"/>
      <w:kern w:val="28"/>
      <w:sz w:val="48"/>
      <w:szCs w:val="56"/>
    </w:rPr>
  </w:style>
  <w:style w:type="paragraph" w:styleId="Subtitle">
    <w:name w:val="Subtitle"/>
    <w:basedOn w:val="Normal"/>
    <w:next w:val="Normal"/>
    <w:link w:val="SubtitleChar"/>
    <w:uiPriority w:val="11"/>
    <w:qFormat/>
    <w:rsid w:val="002F5A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5A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5A28"/>
    <w:pPr>
      <w:spacing w:before="160"/>
      <w:jc w:val="center"/>
    </w:pPr>
    <w:rPr>
      <w:i/>
      <w:iCs/>
      <w:color w:val="404040" w:themeColor="text1" w:themeTint="BF"/>
    </w:rPr>
  </w:style>
  <w:style w:type="character" w:customStyle="1" w:styleId="QuoteChar">
    <w:name w:val="Quote Char"/>
    <w:basedOn w:val="DefaultParagraphFont"/>
    <w:link w:val="Quote"/>
    <w:uiPriority w:val="29"/>
    <w:rsid w:val="002F5A28"/>
    <w:rPr>
      <w:i/>
      <w:iCs/>
      <w:color w:val="404040" w:themeColor="text1" w:themeTint="BF"/>
    </w:rPr>
  </w:style>
  <w:style w:type="paragraph" w:styleId="ListParagraph">
    <w:name w:val="List Paragraph"/>
    <w:basedOn w:val="Normal"/>
    <w:uiPriority w:val="34"/>
    <w:qFormat/>
    <w:rsid w:val="00852BC4"/>
    <w:pPr>
      <w:spacing w:after="40"/>
      <w:ind w:left="720"/>
      <w:contextualSpacing/>
    </w:pPr>
  </w:style>
  <w:style w:type="character" w:styleId="IntenseEmphasis">
    <w:name w:val="Intense Emphasis"/>
    <w:basedOn w:val="DefaultParagraphFont"/>
    <w:uiPriority w:val="21"/>
    <w:qFormat/>
    <w:rsid w:val="002F5A28"/>
    <w:rPr>
      <w:i/>
      <w:iCs/>
      <w:color w:val="0B5294" w:themeColor="accent1" w:themeShade="BF"/>
    </w:rPr>
  </w:style>
  <w:style w:type="paragraph" w:styleId="IntenseQuote">
    <w:name w:val="Intense Quote"/>
    <w:basedOn w:val="Normal"/>
    <w:next w:val="Normal"/>
    <w:link w:val="IntenseQuoteChar"/>
    <w:uiPriority w:val="30"/>
    <w:qFormat/>
    <w:rsid w:val="002F5A28"/>
    <w:pPr>
      <w:pBdr>
        <w:top w:val="single" w:sz="4" w:space="10" w:color="0B5294" w:themeColor="accent1" w:themeShade="BF"/>
        <w:bottom w:val="single" w:sz="4" w:space="10" w:color="0B5294" w:themeColor="accent1" w:themeShade="BF"/>
      </w:pBdr>
      <w:spacing w:before="360" w:after="360"/>
      <w:ind w:left="864" w:right="864"/>
      <w:jc w:val="center"/>
    </w:pPr>
    <w:rPr>
      <w:i/>
      <w:iCs/>
      <w:color w:val="0B5294" w:themeColor="accent1" w:themeShade="BF"/>
    </w:rPr>
  </w:style>
  <w:style w:type="character" w:customStyle="1" w:styleId="IntenseQuoteChar">
    <w:name w:val="Intense Quote Char"/>
    <w:basedOn w:val="DefaultParagraphFont"/>
    <w:link w:val="IntenseQuote"/>
    <w:uiPriority w:val="30"/>
    <w:rsid w:val="002F5A28"/>
    <w:rPr>
      <w:i/>
      <w:iCs/>
      <w:color w:val="0B5294" w:themeColor="accent1" w:themeShade="BF"/>
    </w:rPr>
  </w:style>
  <w:style w:type="character" w:styleId="IntenseReference">
    <w:name w:val="Intense Reference"/>
    <w:basedOn w:val="DefaultParagraphFont"/>
    <w:uiPriority w:val="32"/>
    <w:qFormat/>
    <w:rsid w:val="002F5A28"/>
    <w:rPr>
      <w:b/>
      <w:bCs/>
      <w:smallCaps/>
      <w:color w:val="0B5294" w:themeColor="accent1" w:themeShade="BF"/>
      <w:spacing w:val="5"/>
    </w:rPr>
  </w:style>
  <w:style w:type="paragraph" w:styleId="TOCHeading">
    <w:name w:val="TOC Heading"/>
    <w:basedOn w:val="Heading1"/>
    <w:next w:val="Normal"/>
    <w:uiPriority w:val="39"/>
    <w:unhideWhenUsed/>
    <w:qFormat/>
    <w:rsid w:val="00F77A6C"/>
    <w:pPr>
      <w:spacing w:before="240" w:after="0"/>
      <w:outlineLvl w:val="9"/>
    </w:pPr>
    <w:rPr>
      <w:kern w:val="0"/>
      <w:sz w:val="32"/>
      <w:szCs w:val="32"/>
      <w:lang w:val="en-US"/>
      <w14:ligatures w14:val="none"/>
    </w:rPr>
  </w:style>
  <w:style w:type="paragraph" w:styleId="TOC2">
    <w:name w:val="toc 2"/>
    <w:basedOn w:val="Normal"/>
    <w:next w:val="Normal"/>
    <w:autoRedefine/>
    <w:uiPriority w:val="39"/>
    <w:unhideWhenUsed/>
    <w:rsid w:val="00F77A6C"/>
    <w:pPr>
      <w:spacing w:after="100"/>
      <w:ind w:left="220"/>
    </w:pPr>
  </w:style>
  <w:style w:type="character" w:styleId="Hyperlink">
    <w:name w:val="Hyperlink"/>
    <w:basedOn w:val="DefaultParagraphFont"/>
    <w:uiPriority w:val="99"/>
    <w:unhideWhenUsed/>
    <w:rsid w:val="00F77A6C"/>
    <w:rPr>
      <w:color w:val="F49100" w:themeColor="hyperlink"/>
      <w:u w:val="single"/>
    </w:rPr>
  </w:style>
  <w:style w:type="character" w:styleId="UnresolvedMention">
    <w:name w:val="Unresolved Mention"/>
    <w:basedOn w:val="DefaultParagraphFont"/>
    <w:uiPriority w:val="99"/>
    <w:semiHidden/>
    <w:unhideWhenUsed/>
    <w:rsid w:val="003F5A05"/>
    <w:rPr>
      <w:color w:val="605E5C"/>
      <w:shd w:val="clear" w:color="auto" w:fill="E1DFDD"/>
    </w:rPr>
  </w:style>
  <w:style w:type="character" w:styleId="CommentReference">
    <w:name w:val="annotation reference"/>
    <w:basedOn w:val="DefaultParagraphFont"/>
    <w:uiPriority w:val="99"/>
    <w:semiHidden/>
    <w:unhideWhenUsed/>
    <w:rsid w:val="005F6691"/>
    <w:rPr>
      <w:sz w:val="16"/>
      <w:szCs w:val="16"/>
    </w:rPr>
  </w:style>
  <w:style w:type="paragraph" w:styleId="CommentText">
    <w:name w:val="annotation text"/>
    <w:basedOn w:val="Normal"/>
    <w:link w:val="CommentTextChar"/>
    <w:uiPriority w:val="99"/>
    <w:unhideWhenUsed/>
    <w:rsid w:val="005F6691"/>
    <w:pPr>
      <w:spacing w:line="240" w:lineRule="auto"/>
    </w:pPr>
    <w:rPr>
      <w:sz w:val="20"/>
      <w:szCs w:val="20"/>
    </w:rPr>
  </w:style>
  <w:style w:type="character" w:customStyle="1" w:styleId="CommentTextChar">
    <w:name w:val="Comment Text Char"/>
    <w:basedOn w:val="DefaultParagraphFont"/>
    <w:link w:val="CommentText"/>
    <w:uiPriority w:val="99"/>
    <w:rsid w:val="005F6691"/>
    <w:rPr>
      <w:sz w:val="20"/>
      <w:szCs w:val="20"/>
    </w:rPr>
  </w:style>
  <w:style w:type="paragraph" w:styleId="CommentSubject">
    <w:name w:val="annotation subject"/>
    <w:basedOn w:val="CommentText"/>
    <w:next w:val="CommentText"/>
    <w:link w:val="CommentSubjectChar"/>
    <w:uiPriority w:val="99"/>
    <w:semiHidden/>
    <w:unhideWhenUsed/>
    <w:rsid w:val="005F6691"/>
    <w:rPr>
      <w:b/>
      <w:bCs/>
    </w:rPr>
  </w:style>
  <w:style w:type="character" w:customStyle="1" w:styleId="CommentSubjectChar">
    <w:name w:val="Comment Subject Char"/>
    <w:basedOn w:val="CommentTextChar"/>
    <w:link w:val="CommentSubject"/>
    <w:uiPriority w:val="99"/>
    <w:semiHidden/>
    <w:rsid w:val="005F6691"/>
    <w:rPr>
      <w:b/>
      <w:bCs/>
      <w:sz w:val="20"/>
      <w:szCs w:val="20"/>
    </w:rPr>
  </w:style>
  <w:style w:type="table" w:styleId="TableGrid">
    <w:name w:val="Table Grid"/>
    <w:basedOn w:val="TableNormal"/>
    <w:uiPriority w:val="39"/>
    <w:rsid w:val="00A82B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3C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CA9"/>
  </w:style>
  <w:style w:type="paragraph" w:styleId="Footer">
    <w:name w:val="footer"/>
    <w:basedOn w:val="Normal"/>
    <w:link w:val="FooterChar"/>
    <w:uiPriority w:val="99"/>
    <w:unhideWhenUsed/>
    <w:rsid w:val="00DB3C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CA9"/>
  </w:style>
  <w:style w:type="paragraph" w:styleId="TOC1">
    <w:name w:val="toc 1"/>
    <w:basedOn w:val="Normal"/>
    <w:next w:val="Normal"/>
    <w:autoRedefine/>
    <w:uiPriority w:val="39"/>
    <w:unhideWhenUsed/>
    <w:rsid w:val="00AB49E6"/>
    <w:pPr>
      <w:spacing w:after="100"/>
    </w:pPr>
  </w:style>
  <w:style w:type="paragraph" w:styleId="TOC3">
    <w:name w:val="toc 3"/>
    <w:basedOn w:val="Normal"/>
    <w:next w:val="Normal"/>
    <w:autoRedefine/>
    <w:uiPriority w:val="39"/>
    <w:unhideWhenUsed/>
    <w:rsid w:val="00852BC4"/>
    <w:pPr>
      <w:spacing w:after="100"/>
      <w:ind w:left="440"/>
    </w:pPr>
  </w:style>
  <w:style w:type="table" w:styleId="ListTable3-Accent6">
    <w:name w:val="List Table 3 Accent 6"/>
    <w:basedOn w:val="TableNormal"/>
    <w:uiPriority w:val="48"/>
    <w:rsid w:val="00852BC4"/>
    <w:pPr>
      <w:spacing w:after="0" w:line="240" w:lineRule="auto"/>
    </w:pPr>
    <w:tblPr>
      <w:tblStyleRowBandSize w:val="1"/>
      <w:tblStyleColBandSize w:val="1"/>
      <w:tblBorders>
        <w:top w:val="single" w:sz="4" w:space="0" w:color="A5C249" w:themeColor="accent6"/>
        <w:left w:val="single" w:sz="4" w:space="0" w:color="A5C249" w:themeColor="accent6"/>
        <w:bottom w:val="single" w:sz="4" w:space="0" w:color="A5C249" w:themeColor="accent6"/>
        <w:right w:val="single" w:sz="4" w:space="0" w:color="A5C249" w:themeColor="accent6"/>
      </w:tblBorders>
    </w:tblPr>
    <w:tblStylePr w:type="firstRow">
      <w:rPr>
        <w:b/>
        <w:bCs/>
        <w:color w:val="FFFFFF" w:themeColor="background1"/>
      </w:rPr>
      <w:tblPr/>
      <w:tcPr>
        <w:shd w:val="clear" w:color="auto" w:fill="A5C249" w:themeFill="accent6"/>
      </w:tcPr>
    </w:tblStylePr>
    <w:tblStylePr w:type="lastRow">
      <w:rPr>
        <w:b/>
        <w:bCs/>
      </w:rPr>
      <w:tblPr/>
      <w:tcPr>
        <w:tcBorders>
          <w:top w:val="double" w:sz="4" w:space="0" w:color="A5C24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C249" w:themeColor="accent6"/>
          <w:right w:val="single" w:sz="4" w:space="0" w:color="A5C249" w:themeColor="accent6"/>
        </w:tcBorders>
      </w:tcPr>
    </w:tblStylePr>
    <w:tblStylePr w:type="band1Horz">
      <w:tblPr/>
      <w:tcPr>
        <w:tcBorders>
          <w:top w:val="single" w:sz="4" w:space="0" w:color="A5C249" w:themeColor="accent6"/>
          <w:bottom w:val="single" w:sz="4" w:space="0" w:color="A5C24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C249" w:themeColor="accent6"/>
          <w:left w:val="nil"/>
        </w:tcBorders>
      </w:tcPr>
    </w:tblStylePr>
    <w:tblStylePr w:type="swCell">
      <w:tblPr/>
      <w:tcPr>
        <w:tcBorders>
          <w:top w:val="double" w:sz="4" w:space="0" w:color="A5C249" w:themeColor="accent6"/>
          <w:right w:val="nil"/>
        </w:tcBorders>
      </w:tcPr>
    </w:tblStylePr>
  </w:style>
  <w:style w:type="table" w:styleId="ListTable3-Accent5">
    <w:name w:val="List Table 3 Accent 5"/>
    <w:basedOn w:val="TableNormal"/>
    <w:uiPriority w:val="48"/>
    <w:rsid w:val="00852BC4"/>
    <w:pPr>
      <w:spacing w:after="0" w:line="240" w:lineRule="auto"/>
    </w:pPr>
    <w:tblPr>
      <w:tblStyleRowBandSize w:val="1"/>
      <w:tblStyleColBandSize w:val="1"/>
      <w:tblBorders>
        <w:top w:val="single" w:sz="4" w:space="0" w:color="7CCA62" w:themeColor="accent5"/>
        <w:left w:val="single" w:sz="4" w:space="0" w:color="7CCA62" w:themeColor="accent5"/>
        <w:bottom w:val="single" w:sz="4" w:space="0" w:color="7CCA62" w:themeColor="accent5"/>
        <w:right w:val="single" w:sz="4" w:space="0" w:color="7CCA62" w:themeColor="accent5"/>
      </w:tblBorders>
    </w:tblPr>
    <w:tblStylePr w:type="firstRow">
      <w:rPr>
        <w:b/>
        <w:bCs/>
        <w:color w:val="FFFFFF" w:themeColor="background1"/>
      </w:rPr>
      <w:tblPr/>
      <w:tcPr>
        <w:shd w:val="clear" w:color="auto" w:fill="7CCA62" w:themeFill="accent5"/>
      </w:tcPr>
    </w:tblStylePr>
    <w:tblStylePr w:type="lastRow">
      <w:rPr>
        <w:b/>
        <w:bCs/>
      </w:rPr>
      <w:tblPr/>
      <w:tcPr>
        <w:tcBorders>
          <w:top w:val="double" w:sz="4" w:space="0" w:color="7CCA6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A62" w:themeColor="accent5"/>
          <w:right w:val="single" w:sz="4" w:space="0" w:color="7CCA62" w:themeColor="accent5"/>
        </w:tcBorders>
      </w:tcPr>
    </w:tblStylePr>
    <w:tblStylePr w:type="band1Horz">
      <w:tblPr/>
      <w:tcPr>
        <w:tcBorders>
          <w:top w:val="single" w:sz="4" w:space="0" w:color="7CCA62" w:themeColor="accent5"/>
          <w:bottom w:val="single" w:sz="4" w:space="0" w:color="7CCA6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A62" w:themeColor="accent5"/>
          <w:left w:val="nil"/>
        </w:tcBorders>
      </w:tcPr>
    </w:tblStylePr>
    <w:tblStylePr w:type="swCell">
      <w:tblPr/>
      <w:tcPr>
        <w:tcBorders>
          <w:top w:val="double" w:sz="4" w:space="0" w:color="7CCA62" w:themeColor="accent5"/>
          <w:right w:val="nil"/>
        </w:tcBorders>
      </w:tcPr>
    </w:tblStylePr>
  </w:style>
  <w:style w:type="table" w:styleId="ListTable4-Accent6">
    <w:name w:val="List Table 4 Accent 6"/>
    <w:basedOn w:val="TableNormal"/>
    <w:uiPriority w:val="49"/>
    <w:rsid w:val="00852BC4"/>
    <w:pPr>
      <w:spacing w:after="0" w:line="240" w:lineRule="auto"/>
    </w:pPr>
    <w:tblPr>
      <w:tblStyleRowBandSize w:val="1"/>
      <w:tblStyleColBandSize w:val="1"/>
      <w:tblBorders>
        <w:top w:val="single" w:sz="4" w:space="0" w:color="C8DA91" w:themeColor="accent6" w:themeTint="99"/>
        <w:left w:val="single" w:sz="4" w:space="0" w:color="C8DA91" w:themeColor="accent6" w:themeTint="99"/>
        <w:bottom w:val="single" w:sz="4" w:space="0" w:color="C8DA91" w:themeColor="accent6" w:themeTint="99"/>
        <w:right w:val="single" w:sz="4" w:space="0" w:color="C8DA91" w:themeColor="accent6" w:themeTint="99"/>
        <w:insideH w:val="single" w:sz="4" w:space="0" w:color="C8DA91" w:themeColor="accent6" w:themeTint="99"/>
      </w:tblBorders>
    </w:tblPr>
    <w:tblStylePr w:type="firstRow">
      <w:rPr>
        <w:b/>
        <w:bCs/>
        <w:color w:val="FFFFFF" w:themeColor="background1"/>
      </w:rPr>
      <w:tblPr/>
      <w:tcPr>
        <w:tcBorders>
          <w:top w:val="single" w:sz="4" w:space="0" w:color="A5C249" w:themeColor="accent6"/>
          <w:left w:val="single" w:sz="4" w:space="0" w:color="A5C249" w:themeColor="accent6"/>
          <w:bottom w:val="single" w:sz="4" w:space="0" w:color="A5C249" w:themeColor="accent6"/>
          <w:right w:val="single" w:sz="4" w:space="0" w:color="A5C249" w:themeColor="accent6"/>
          <w:insideH w:val="nil"/>
        </w:tcBorders>
        <w:shd w:val="clear" w:color="auto" w:fill="A5C249" w:themeFill="accent6"/>
      </w:tcPr>
    </w:tblStylePr>
    <w:tblStylePr w:type="lastRow">
      <w:rPr>
        <w:b/>
        <w:bCs/>
      </w:rPr>
      <w:tblPr/>
      <w:tcPr>
        <w:tcBorders>
          <w:top w:val="double" w:sz="4" w:space="0" w:color="C8DA91" w:themeColor="accent6" w:themeTint="99"/>
        </w:tcBorders>
      </w:tcPr>
    </w:tblStylePr>
    <w:tblStylePr w:type="firstCol">
      <w:rPr>
        <w:b/>
        <w:bCs/>
      </w:rPr>
    </w:tblStylePr>
    <w:tblStylePr w:type="lastCol">
      <w:rPr>
        <w:b/>
        <w:bCs/>
      </w:rPr>
    </w:tblStylePr>
    <w:tblStylePr w:type="band1Vert">
      <w:tblPr/>
      <w:tcPr>
        <w:shd w:val="clear" w:color="auto" w:fill="ECF2DA" w:themeFill="accent6" w:themeFillTint="33"/>
      </w:tcPr>
    </w:tblStylePr>
    <w:tblStylePr w:type="band1Horz">
      <w:tblPr/>
      <w:tcPr>
        <w:shd w:val="clear" w:color="auto" w:fill="ECF2DA" w:themeFill="accent6" w:themeFillTint="33"/>
      </w:tcPr>
    </w:tblStylePr>
  </w:style>
  <w:style w:type="table" w:styleId="ListTable6ColourfulAccent6">
    <w:name w:val="List Table 6 Colorful Accent 6"/>
    <w:basedOn w:val="TableNormal"/>
    <w:uiPriority w:val="51"/>
    <w:rsid w:val="00852BC4"/>
    <w:pPr>
      <w:spacing w:after="0" w:line="240" w:lineRule="auto"/>
    </w:pPr>
    <w:rPr>
      <w:color w:val="7D9532" w:themeColor="accent6" w:themeShade="BF"/>
    </w:rPr>
    <w:tblPr>
      <w:tblStyleRowBandSize w:val="1"/>
      <w:tblStyleColBandSize w:val="1"/>
      <w:tblBorders>
        <w:top w:val="single" w:sz="4" w:space="0" w:color="A5C249" w:themeColor="accent6"/>
        <w:bottom w:val="single" w:sz="4" w:space="0" w:color="A5C249" w:themeColor="accent6"/>
      </w:tblBorders>
    </w:tblPr>
    <w:tblStylePr w:type="firstRow">
      <w:rPr>
        <w:b/>
        <w:bCs/>
      </w:rPr>
      <w:tblPr/>
      <w:tcPr>
        <w:tcBorders>
          <w:bottom w:val="single" w:sz="4" w:space="0" w:color="A5C249" w:themeColor="accent6"/>
        </w:tcBorders>
      </w:tcPr>
    </w:tblStylePr>
    <w:tblStylePr w:type="lastRow">
      <w:rPr>
        <w:b/>
        <w:bCs/>
      </w:rPr>
      <w:tblPr/>
      <w:tcPr>
        <w:tcBorders>
          <w:top w:val="double" w:sz="4" w:space="0" w:color="A5C249" w:themeColor="accent6"/>
        </w:tcBorders>
      </w:tcPr>
    </w:tblStylePr>
    <w:tblStylePr w:type="firstCol">
      <w:rPr>
        <w:b/>
        <w:bCs/>
      </w:rPr>
    </w:tblStylePr>
    <w:tblStylePr w:type="lastCol">
      <w:rPr>
        <w:b/>
        <w:bCs/>
      </w:rPr>
    </w:tblStylePr>
    <w:tblStylePr w:type="band1Vert">
      <w:tblPr/>
      <w:tcPr>
        <w:shd w:val="clear" w:color="auto" w:fill="ECF2DA" w:themeFill="accent6" w:themeFillTint="33"/>
      </w:tcPr>
    </w:tblStylePr>
    <w:tblStylePr w:type="band1Horz">
      <w:tblPr/>
      <w:tcPr>
        <w:shd w:val="clear" w:color="auto" w:fill="ECF2DA" w:themeFill="accent6" w:themeFillTint="33"/>
      </w:tcPr>
    </w:tblStylePr>
  </w:style>
  <w:style w:type="table" w:styleId="ListTable5Dark-Accent6">
    <w:name w:val="List Table 5 Dark Accent 6"/>
    <w:basedOn w:val="TableNormal"/>
    <w:uiPriority w:val="50"/>
    <w:rsid w:val="00852BC4"/>
    <w:pPr>
      <w:spacing w:after="0" w:line="240" w:lineRule="auto"/>
    </w:pPr>
    <w:rPr>
      <w:color w:val="FFFFFF" w:themeColor="background1"/>
    </w:rPr>
    <w:tblPr>
      <w:tblStyleRowBandSize w:val="1"/>
      <w:tblStyleColBandSize w:val="1"/>
      <w:tblBorders>
        <w:top w:val="single" w:sz="24" w:space="0" w:color="A5C249" w:themeColor="accent6"/>
        <w:left w:val="single" w:sz="24" w:space="0" w:color="A5C249" w:themeColor="accent6"/>
        <w:bottom w:val="single" w:sz="24" w:space="0" w:color="A5C249" w:themeColor="accent6"/>
        <w:right w:val="single" w:sz="24" w:space="0" w:color="A5C249" w:themeColor="accent6"/>
      </w:tblBorders>
    </w:tblPr>
    <w:tcPr>
      <w:shd w:val="clear" w:color="auto" w:fill="A5C24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6ColourfulAccent5">
    <w:name w:val="Grid Table 6 Colorful Accent 5"/>
    <w:basedOn w:val="TableNormal"/>
    <w:uiPriority w:val="51"/>
    <w:rsid w:val="00852BC4"/>
    <w:pPr>
      <w:spacing w:after="0" w:line="240" w:lineRule="auto"/>
    </w:pPr>
    <w:rPr>
      <w:color w:val="54A738" w:themeColor="accent5" w:themeShade="BF"/>
    </w:rPr>
    <w:tblPr>
      <w:tblStyleRowBandSize w:val="1"/>
      <w:tblStyleColBandSize w:val="1"/>
      <w:tblBorders>
        <w:top w:val="single" w:sz="4" w:space="0" w:color="B0DFA0" w:themeColor="accent5" w:themeTint="99"/>
        <w:left w:val="single" w:sz="4" w:space="0" w:color="B0DFA0" w:themeColor="accent5" w:themeTint="99"/>
        <w:bottom w:val="single" w:sz="4" w:space="0" w:color="B0DFA0" w:themeColor="accent5" w:themeTint="99"/>
        <w:right w:val="single" w:sz="4" w:space="0" w:color="B0DFA0" w:themeColor="accent5" w:themeTint="99"/>
        <w:insideH w:val="single" w:sz="4" w:space="0" w:color="B0DFA0" w:themeColor="accent5" w:themeTint="99"/>
        <w:insideV w:val="single" w:sz="4" w:space="0" w:color="B0DFA0" w:themeColor="accent5" w:themeTint="99"/>
      </w:tblBorders>
    </w:tblPr>
    <w:tblStylePr w:type="firstRow">
      <w:rPr>
        <w:b/>
        <w:bCs/>
      </w:rPr>
      <w:tblPr/>
      <w:tcPr>
        <w:tcBorders>
          <w:bottom w:val="single" w:sz="12" w:space="0" w:color="B0DFA0" w:themeColor="accent5" w:themeTint="99"/>
        </w:tcBorders>
      </w:tcPr>
    </w:tblStylePr>
    <w:tblStylePr w:type="lastRow">
      <w:rPr>
        <w:b/>
        <w:bCs/>
      </w:rPr>
      <w:tblPr/>
      <w:tcPr>
        <w:tcBorders>
          <w:top w:val="double" w:sz="4" w:space="0" w:color="B0DFA0" w:themeColor="accent5" w:themeTint="99"/>
        </w:tcBorders>
      </w:tc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table" w:styleId="GridTable1Light-Accent6">
    <w:name w:val="Grid Table 1 Light Accent 6"/>
    <w:basedOn w:val="TableNormal"/>
    <w:uiPriority w:val="46"/>
    <w:rsid w:val="00852BC4"/>
    <w:pPr>
      <w:spacing w:after="0" w:line="240" w:lineRule="auto"/>
    </w:pPr>
    <w:tblPr>
      <w:tblStyleRowBandSize w:val="1"/>
      <w:tblStyleColBandSize w:val="1"/>
      <w:tblBorders>
        <w:top w:val="single" w:sz="4" w:space="0" w:color="DAE6B6" w:themeColor="accent6" w:themeTint="66"/>
        <w:left w:val="single" w:sz="4" w:space="0" w:color="DAE6B6" w:themeColor="accent6" w:themeTint="66"/>
        <w:bottom w:val="single" w:sz="4" w:space="0" w:color="DAE6B6" w:themeColor="accent6" w:themeTint="66"/>
        <w:right w:val="single" w:sz="4" w:space="0" w:color="DAE6B6" w:themeColor="accent6" w:themeTint="66"/>
        <w:insideH w:val="single" w:sz="4" w:space="0" w:color="DAE6B6" w:themeColor="accent6" w:themeTint="66"/>
        <w:insideV w:val="single" w:sz="4" w:space="0" w:color="DAE6B6" w:themeColor="accent6" w:themeTint="66"/>
      </w:tblBorders>
    </w:tblPr>
    <w:tblStylePr w:type="firstRow">
      <w:rPr>
        <w:b/>
        <w:bCs/>
      </w:rPr>
      <w:tblPr/>
      <w:tcPr>
        <w:tcBorders>
          <w:bottom w:val="single" w:sz="12" w:space="0" w:color="C8DA91" w:themeColor="accent6" w:themeTint="99"/>
        </w:tcBorders>
      </w:tcPr>
    </w:tblStylePr>
    <w:tblStylePr w:type="lastRow">
      <w:rPr>
        <w:b/>
        <w:bCs/>
      </w:rPr>
      <w:tblPr/>
      <w:tcPr>
        <w:tcBorders>
          <w:top w:val="double" w:sz="2" w:space="0" w:color="C8DA91" w:themeColor="accent6" w:themeTint="99"/>
        </w:tcBorders>
      </w:tcPr>
    </w:tblStylePr>
    <w:tblStylePr w:type="firstCol">
      <w:rPr>
        <w:b/>
        <w:bCs/>
      </w:rPr>
    </w:tblStylePr>
    <w:tblStylePr w:type="lastCol">
      <w:rPr>
        <w:b/>
        <w:bCs/>
      </w:rPr>
    </w:tblStylePr>
  </w:style>
  <w:style w:type="table" w:styleId="GridTable6ColourfulAccent6">
    <w:name w:val="Grid Table 6 Colorful Accent 6"/>
    <w:basedOn w:val="TableNormal"/>
    <w:uiPriority w:val="51"/>
    <w:rsid w:val="000A61BA"/>
    <w:pPr>
      <w:spacing w:after="0" w:line="240" w:lineRule="auto"/>
    </w:pPr>
    <w:rPr>
      <w:color w:val="7D9532" w:themeColor="accent6" w:themeShade="BF"/>
    </w:rPr>
    <w:tblPr>
      <w:tblStyleRowBandSize w:val="1"/>
      <w:tblStyleColBandSize w:val="1"/>
      <w:tblBorders>
        <w:top w:val="single" w:sz="4" w:space="0" w:color="C8DA91" w:themeColor="accent6" w:themeTint="99"/>
        <w:left w:val="single" w:sz="4" w:space="0" w:color="C8DA91" w:themeColor="accent6" w:themeTint="99"/>
        <w:bottom w:val="single" w:sz="4" w:space="0" w:color="C8DA91" w:themeColor="accent6" w:themeTint="99"/>
        <w:right w:val="single" w:sz="4" w:space="0" w:color="C8DA91" w:themeColor="accent6" w:themeTint="99"/>
        <w:insideH w:val="single" w:sz="4" w:space="0" w:color="C8DA91" w:themeColor="accent6" w:themeTint="99"/>
        <w:insideV w:val="single" w:sz="4" w:space="0" w:color="C8DA91" w:themeColor="accent6" w:themeTint="99"/>
      </w:tblBorders>
    </w:tblPr>
    <w:tblStylePr w:type="firstRow">
      <w:rPr>
        <w:b/>
        <w:bCs/>
      </w:rPr>
      <w:tblPr/>
      <w:tcPr>
        <w:tcBorders>
          <w:bottom w:val="single" w:sz="12" w:space="0" w:color="C8DA91" w:themeColor="accent6" w:themeTint="99"/>
        </w:tcBorders>
      </w:tcPr>
    </w:tblStylePr>
    <w:tblStylePr w:type="lastRow">
      <w:rPr>
        <w:b/>
        <w:bCs/>
      </w:rPr>
      <w:tblPr/>
      <w:tcPr>
        <w:tcBorders>
          <w:top w:val="double" w:sz="4" w:space="0" w:color="C8DA91" w:themeColor="accent6" w:themeTint="99"/>
        </w:tcBorders>
      </w:tcPr>
    </w:tblStylePr>
    <w:tblStylePr w:type="firstCol">
      <w:rPr>
        <w:b/>
        <w:bCs/>
      </w:rPr>
    </w:tblStylePr>
    <w:tblStylePr w:type="lastCol">
      <w:rPr>
        <w:b/>
        <w:bCs/>
      </w:rPr>
    </w:tblStylePr>
    <w:tblStylePr w:type="band1Vert">
      <w:tblPr/>
      <w:tcPr>
        <w:shd w:val="clear" w:color="auto" w:fill="ECF2DA" w:themeFill="accent6" w:themeFillTint="33"/>
      </w:tcPr>
    </w:tblStylePr>
    <w:tblStylePr w:type="band1Horz">
      <w:tblPr/>
      <w:tcPr>
        <w:shd w:val="clear" w:color="auto" w:fill="ECF2DA"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762362">
      <w:bodyDiv w:val="1"/>
      <w:marLeft w:val="0"/>
      <w:marRight w:val="0"/>
      <w:marTop w:val="0"/>
      <w:marBottom w:val="0"/>
      <w:divBdr>
        <w:top w:val="none" w:sz="0" w:space="0" w:color="auto"/>
        <w:left w:val="none" w:sz="0" w:space="0" w:color="auto"/>
        <w:bottom w:val="none" w:sz="0" w:space="0" w:color="auto"/>
        <w:right w:val="none" w:sz="0" w:space="0" w:color="auto"/>
      </w:divBdr>
    </w:div>
    <w:div w:id="155072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eps"/><Relationship Id="rId1" Type="http://schemas.openxmlformats.org/officeDocument/2006/relationships/image" Target="media/image1.png"/></Relationships>
</file>

<file path=word/theme/theme1.xml><?xml version="1.0" encoding="utf-8"?>
<a:theme xmlns:a="http://schemas.openxmlformats.org/drawingml/2006/main" name="Berlin">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Berli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c039c8-2fbf-4745-837c-1af3dd2f61d2" xsi:nil="true"/>
    <lcf76f155ced4ddcb4097134ff3c332f xmlns="8a5bc900-6d5f-493f-b1c5-11a7418565df">
      <Terms xmlns="http://schemas.microsoft.com/office/infopath/2007/PartnerControls"/>
    </lcf76f155ced4ddcb4097134ff3c332f>
    <Document_x0020_Status xmlns="8a5bc900-6d5f-493f-b1c5-11a7418565d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7D5AFA38AEB84DB3371DBF6FFD3780" ma:contentTypeVersion="13" ma:contentTypeDescription="Create a new document." ma:contentTypeScope="" ma:versionID="75702fab6759052eefccc2a9fc001e1f">
  <xsd:schema xmlns:xsd="http://www.w3.org/2001/XMLSchema" xmlns:xs="http://www.w3.org/2001/XMLSchema" xmlns:p="http://schemas.microsoft.com/office/2006/metadata/properties" xmlns:ns2="8a5bc900-6d5f-493f-b1c5-11a7418565df" xmlns:ns3="9fc039c8-2fbf-4745-837c-1af3dd2f61d2" targetNamespace="http://schemas.microsoft.com/office/2006/metadata/properties" ma:root="true" ma:fieldsID="1f53b9ae98da46e4f68c569b0706869d" ns2:_="" ns3:_="">
    <xsd:import namespace="8a5bc900-6d5f-493f-b1c5-11a7418565df"/>
    <xsd:import namespace="9fc039c8-2fbf-4745-837c-1af3dd2f61d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Document_x0020_Statu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5bc900-6d5f-493f-b1c5-11a7418565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Document_x0020_Status" ma:index="11" nillable="true" ma:displayName="Document Status" ma:format="Dropdown" ma:internalName="Document_x0020_Status">
      <xsd:simpleType>
        <xsd:restriction base="dms:Choice">
          <xsd:enumeration value="Draft"/>
          <xsd:enumeration value="Final"/>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bdf54ce-dd5d-4b41-9a76-d653432b0ef5"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c039c8-2fbf-4745-837c-1af3dd2f61d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c8a1ae3-84d5-43c8-8b62-d34433aa11ed}" ma:internalName="TaxCatchAll" ma:showField="CatchAllData" ma:web="9fc039c8-2fbf-4745-837c-1af3dd2f61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A5375-ED48-48C9-A37E-EA2D2D084E5A}">
  <ds:schemaRefs>
    <ds:schemaRef ds:uri="http://schemas.microsoft.com/office/2006/metadata/properties"/>
    <ds:schemaRef ds:uri="http://schemas.microsoft.com/office/infopath/2007/PartnerControls"/>
    <ds:schemaRef ds:uri="9fc039c8-2fbf-4745-837c-1af3dd2f61d2"/>
    <ds:schemaRef ds:uri="8a5bc900-6d5f-493f-b1c5-11a7418565df"/>
  </ds:schemaRefs>
</ds:datastoreItem>
</file>

<file path=customXml/itemProps2.xml><?xml version="1.0" encoding="utf-8"?>
<ds:datastoreItem xmlns:ds="http://schemas.openxmlformats.org/officeDocument/2006/customXml" ds:itemID="{374FAA55-F7FB-4B72-8552-C011A3D523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5bc900-6d5f-493f-b1c5-11a7418565df"/>
    <ds:schemaRef ds:uri="9fc039c8-2fbf-4745-837c-1af3dd2f61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A21BC2-C941-4583-BE72-7B8B30BDD841}">
  <ds:schemaRefs>
    <ds:schemaRef ds:uri="http://schemas.microsoft.com/sharepoint/v3/contenttype/forms"/>
  </ds:schemaRefs>
</ds:datastoreItem>
</file>

<file path=customXml/itemProps4.xml><?xml version="1.0" encoding="utf-8"?>
<ds:datastoreItem xmlns:ds="http://schemas.openxmlformats.org/officeDocument/2006/customXml" ds:itemID="{C655831A-79F0-4F50-BB00-62579A94F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RFR-Tool-3-Business-Case</Template>
  <TotalTime>0</TotalTime>
  <Pages>4</Pages>
  <Words>1565</Words>
  <Characters>8921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 for Key Internal/External Stakeholders</dc:title>
  <dc:subject/>
  <dc:creator>Tania Carregha</dc:creator>
  <cp:keywords/>
  <dc:description/>
  <cp:lastModifiedBy>Emily Faering</cp:lastModifiedBy>
  <cp:revision>2</cp:revision>
  <dcterms:created xsi:type="dcterms:W3CDTF">2026-10-16T08:53:00Z</dcterms:created>
  <dcterms:modified xsi:type="dcterms:W3CDTF">2026-10-16T08:53:00Z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0x0101001B7D5AFA38AEB84DB3371DBF6FFD3780</vt:lpwstr>
  </property>
  <property fmtid="{D5CDD505-2E9C-101B-9397-08002B2CF9AE}" pid="3" name="MediaServiceImageTags">
    <vt:lpwstr/>
  </property>
</Properties>
</file>